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63C3" w14:textId="77777777" w:rsidR="003E2292" w:rsidRDefault="004D0F7E" w:rsidP="003E2292">
      <w:pPr>
        <w:pStyle w:val="Point0"/>
      </w:pPr>
      <w:r w:rsidRPr="000D4862">
        <w:rPr>
          <w:noProof/>
          <w:lang w:eastAsia="lt-LT"/>
        </w:rPr>
        <w:drawing>
          <wp:anchor distT="0" distB="0" distL="114300" distR="114300" simplePos="0" relativeHeight="251659264" behindDoc="1" locked="0" layoutInCell="1" allowOverlap="1" wp14:anchorId="60BD8FDB" wp14:editId="6344B3FA">
            <wp:simplePos x="0" y="0"/>
            <wp:positionH relativeFrom="margin">
              <wp:posOffset>-318135</wp:posOffset>
            </wp:positionH>
            <wp:positionV relativeFrom="paragraph">
              <wp:posOffset>-351155</wp:posOffset>
            </wp:positionV>
            <wp:extent cx="6842760" cy="8731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1">
                      <a:extLst>
                        <a:ext uri="{28A0092B-C50C-407E-A947-70E740481C1C}">
                          <a14:useLocalDpi xmlns:a14="http://schemas.microsoft.com/office/drawing/2010/main" val="0"/>
                        </a:ext>
                      </a:extLst>
                    </a:blip>
                    <a:srcRect t="5767"/>
                    <a:stretch/>
                  </pic:blipFill>
                  <pic:spPr bwMode="auto">
                    <a:xfrm>
                      <a:off x="0" y="0"/>
                      <a:ext cx="6842760" cy="8731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21FD64" w14:textId="77777777" w:rsidR="004D0F7E" w:rsidRPr="004D0F7E" w:rsidRDefault="004D0F7E" w:rsidP="004D0F7E"/>
    <w:p w14:paraId="3802BF18" w14:textId="77777777" w:rsidR="004D0F7E" w:rsidRDefault="004D0F7E" w:rsidP="004D0F7E"/>
    <w:p w14:paraId="5C69C66C" w14:textId="77777777" w:rsidR="004D0F7E" w:rsidRDefault="004D0F7E" w:rsidP="004D0F7E">
      <w:pPr>
        <w:tabs>
          <w:tab w:val="left" w:pos="6132"/>
        </w:tabs>
      </w:pPr>
      <w:r>
        <w:tab/>
      </w:r>
    </w:p>
    <w:p w14:paraId="60EDFABE" w14:textId="77777777" w:rsidR="004D0F7E" w:rsidRPr="004D0F7E" w:rsidRDefault="004D0F7E" w:rsidP="004D0F7E">
      <w:pPr>
        <w:tabs>
          <w:tab w:val="left" w:pos="6132"/>
        </w:tabs>
        <w:sectPr w:rsidR="004D0F7E" w:rsidRPr="004D0F7E" w:rsidSect="004D0F7E">
          <w:headerReference w:type="default" r:id="rId12"/>
          <w:footnotePr>
            <w:numRestart w:val="eachPage"/>
          </w:footnotePr>
          <w:pgSz w:w="11907" w:h="16839"/>
          <w:pgMar w:top="1134" w:right="1134" w:bottom="1134" w:left="1134" w:header="567" w:footer="567" w:gutter="0"/>
          <w:cols w:space="720"/>
          <w:docGrid w:linePitch="360"/>
        </w:sectPr>
      </w:pPr>
      <w:r w:rsidRPr="000D4862">
        <w:rPr>
          <w:noProof/>
          <w:lang w:eastAsia="lt-LT"/>
        </w:rPr>
        <mc:AlternateContent>
          <mc:Choice Requires="wps">
            <w:drawing>
              <wp:anchor distT="0" distB="0" distL="114300" distR="114300" simplePos="0" relativeHeight="251663360" behindDoc="0" locked="0" layoutInCell="1" allowOverlap="1" wp14:anchorId="5DB95B7B" wp14:editId="2AF75979">
                <wp:simplePos x="0" y="0"/>
                <wp:positionH relativeFrom="margin">
                  <wp:align>right</wp:align>
                </wp:positionH>
                <wp:positionV relativeFrom="paragraph">
                  <wp:posOffset>2598420</wp:posOffset>
                </wp:positionV>
                <wp:extent cx="6119495" cy="426720"/>
                <wp:effectExtent l="0" t="0" r="14605" b="11430"/>
                <wp:wrapSquare wrapText="bothSides"/>
                <wp:docPr id="5" name="Text Box 5"/>
                <wp:cNvGraphicFramePr/>
                <a:graphic xmlns:a="http://schemas.openxmlformats.org/drawingml/2006/main">
                  <a:graphicData uri="http://schemas.microsoft.com/office/word/2010/wordprocessingShape">
                    <wps:wsp>
                      <wps:cNvSpPr txBox="1"/>
                      <wps:spPr>
                        <a:xfrm>
                          <a:off x="0" y="0"/>
                          <a:ext cx="6119495" cy="426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C3DC15" w14:textId="3F870B78" w:rsidR="004D0F7E" w:rsidRPr="008E1F81" w:rsidRDefault="004D0F7E" w:rsidP="004D0F7E">
                            <w:pPr>
                              <w:jc w:val="center"/>
                              <w:rPr>
                                <w:rFonts w:asciiTheme="minorHAnsi" w:hAnsiTheme="minorHAnsi" w:cstheme="minorHAnsi"/>
                                <w:b/>
                                <w:color w:val="08C1C9"/>
                                <w:sz w:val="32"/>
                                <w:szCs w:val="32"/>
                              </w:rPr>
                            </w:pPr>
                            <w:r w:rsidRPr="008E1F81">
                              <w:rPr>
                                <w:rFonts w:asciiTheme="minorHAnsi" w:hAnsiTheme="minorHAnsi" w:cstheme="minorHAnsi"/>
                                <w:b/>
                                <w:color w:val="08C1C9"/>
                                <w:sz w:val="32"/>
                                <w:szCs w:val="32"/>
                              </w:rPr>
                              <w:t>202</w:t>
                            </w:r>
                            <w:r w:rsidR="005267E6" w:rsidRPr="008E1F81">
                              <w:rPr>
                                <w:rFonts w:asciiTheme="minorHAnsi" w:hAnsiTheme="minorHAnsi" w:cstheme="minorHAnsi"/>
                                <w:b/>
                                <w:color w:val="08C1C9"/>
                                <w:sz w:val="32"/>
                                <w:szCs w:val="32"/>
                              </w:rPr>
                              <w:t>3</w:t>
                            </w:r>
                            <w:r w:rsidRPr="008E1F81">
                              <w:rPr>
                                <w:rFonts w:asciiTheme="minorHAnsi" w:hAnsiTheme="minorHAnsi" w:cstheme="minorHAnsi"/>
                                <w:b/>
                                <w:color w:val="08C1C9"/>
                                <w:sz w:val="32"/>
                                <w:szCs w:val="32"/>
                              </w:rPr>
                              <w:t>-</w:t>
                            </w:r>
                            <w:r w:rsidR="00ED2D6B" w:rsidRPr="008E1F81">
                              <w:rPr>
                                <w:rFonts w:asciiTheme="minorHAnsi" w:hAnsiTheme="minorHAnsi" w:cstheme="minorHAnsi"/>
                                <w:b/>
                                <w:color w:val="08C1C9"/>
                                <w:sz w:val="32"/>
                                <w:szCs w:val="32"/>
                              </w:rPr>
                              <w:t>0</w:t>
                            </w:r>
                            <w:r w:rsidR="00F64AA7">
                              <w:rPr>
                                <w:rFonts w:asciiTheme="minorHAnsi" w:hAnsiTheme="minorHAnsi" w:cstheme="minorHAnsi"/>
                                <w:b/>
                                <w:color w:val="08C1C9"/>
                                <w:sz w:val="32"/>
                                <w:szCs w:val="32"/>
                              </w:rPr>
                              <w:t>7</w:t>
                            </w:r>
                            <w:r w:rsidRPr="008E1F81">
                              <w:rPr>
                                <w:rFonts w:asciiTheme="minorHAnsi" w:hAnsiTheme="minorHAnsi" w:cstheme="minorHAnsi"/>
                                <w:b/>
                                <w:color w:val="08C1C9"/>
                                <w:sz w:val="32"/>
                                <w:szCs w:val="32"/>
                              </w:rPr>
                              <w:t>-</w:t>
                            </w:r>
                            <w:r w:rsidR="00F64AA7">
                              <w:rPr>
                                <w:rFonts w:asciiTheme="minorHAnsi" w:hAnsiTheme="minorHAnsi" w:cstheme="minorHAnsi"/>
                                <w:b/>
                                <w:color w:val="08C1C9"/>
                                <w:sz w:val="32"/>
                                <w:szCs w:val="32"/>
                              </w:rPr>
                              <w:t>26</w:t>
                            </w:r>
                          </w:p>
                          <w:p w14:paraId="3BDF0A1D" w14:textId="77777777" w:rsidR="004D0F7E" w:rsidRPr="00412C74" w:rsidRDefault="004D0F7E" w:rsidP="004D0F7E">
                            <w:pPr>
                              <w:pStyle w:val="03"/>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95B7B" id="_x0000_t202" coordsize="21600,21600" o:spt="202" path="m,l,21600r21600,l21600,xe">
                <v:stroke joinstyle="miter"/>
                <v:path gradientshapeok="t" o:connecttype="rect"/>
              </v:shapetype>
              <v:shape id="Text Box 5" o:spid="_x0000_s1026" type="#_x0000_t202" style="position:absolute;margin-left:430.65pt;margin-top:204.6pt;width:481.85pt;height:33.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" filled="f" stroked="f">
                <v:textbox inset="0,0,0,0">
                  <w:txbxContent>
                    <w:p w14:paraId="73C3DC15" w14:textId="3F870B78" w:rsidR="004D0F7E" w:rsidRPr="008E1F81" w:rsidRDefault="004D0F7E" w:rsidP="004D0F7E">
                      <w:pPr>
                        <w:jc w:val="center"/>
                        <w:rPr>
                          <w:rFonts w:asciiTheme="minorHAnsi" w:hAnsiTheme="minorHAnsi" w:cstheme="minorHAnsi"/>
                          <w:b/>
                          <w:color w:val="08C1C9"/>
                          <w:sz w:val="32"/>
                          <w:szCs w:val="32"/>
                        </w:rPr>
                      </w:pPr>
                      <w:r w:rsidRPr="008E1F81">
                        <w:rPr>
                          <w:rFonts w:asciiTheme="minorHAnsi" w:hAnsiTheme="minorHAnsi" w:cstheme="minorHAnsi"/>
                          <w:b/>
                          <w:color w:val="08C1C9"/>
                          <w:sz w:val="32"/>
                          <w:szCs w:val="32"/>
                        </w:rPr>
                        <w:t>202</w:t>
                      </w:r>
                      <w:r w:rsidR="005267E6" w:rsidRPr="008E1F81">
                        <w:rPr>
                          <w:rFonts w:asciiTheme="minorHAnsi" w:hAnsiTheme="minorHAnsi" w:cstheme="minorHAnsi"/>
                          <w:b/>
                          <w:color w:val="08C1C9"/>
                          <w:sz w:val="32"/>
                          <w:szCs w:val="32"/>
                        </w:rPr>
                        <w:t>3</w:t>
                      </w:r>
                      <w:r w:rsidRPr="008E1F81">
                        <w:rPr>
                          <w:rFonts w:asciiTheme="minorHAnsi" w:hAnsiTheme="minorHAnsi" w:cstheme="minorHAnsi"/>
                          <w:b/>
                          <w:color w:val="08C1C9"/>
                          <w:sz w:val="32"/>
                          <w:szCs w:val="32"/>
                        </w:rPr>
                        <w:t>-</w:t>
                      </w:r>
                      <w:r w:rsidR="00ED2D6B" w:rsidRPr="008E1F81">
                        <w:rPr>
                          <w:rFonts w:asciiTheme="minorHAnsi" w:hAnsiTheme="minorHAnsi" w:cstheme="minorHAnsi"/>
                          <w:b/>
                          <w:color w:val="08C1C9"/>
                          <w:sz w:val="32"/>
                          <w:szCs w:val="32"/>
                        </w:rPr>
                        <w:t>0</w:t>
                      </w:r>
                      <w:r w:rsidR="00F64AA7">
                        <w:rPr>
                          <w:rFonts w:asciiTheme="minorHAnsi" w:hAnsiTheme="minorHAnsi" w:cstheme="minorHAnsi"/>
                          <w:b/>
                          <w:color w:val="08C1C9"/>
                          <w:sz w:val="32"/>
                          <w:szCs w:val="32"/>
                        </w:rPr>
                        <w:t>7</w:t>
                      </w:r>
                      <w:r w:rsidRPr="008E1F81">
                        <w:rPr>
                          <w:rFonts w:asciiTheme="minorHAnsi" w:hAnsiTheme="minorHAnsi" w:cstheme="minorHAnsi"/>
                          <w:b/>
                          <w:color w:val="08C1C9"/>
                          <w:sz w:val="32"/>
                          <w:szCs w:val="32"/>
                        </w:rPr>
                        <w:t>-</w:t>
                      </w:r>
                      <w:r w:rsidR="00F64AA7">
                        <w:rPr>
                          <w:rFonts w:asciiTheme="minorHAnsi" w:hAnsiTheme="minorHAnsi" w:cstheme="minorHAnsi"/>
                          <w:b/>
                          <w:color w:val="08C1C9"/>
                          <w:sz w:val="32"/>
                          <w:szCs w:val="32"/>
                        </w:rPr>
                        <w:t>26</w:t>
                      </w:r>
                    </w:p>
                    <w:p w14:paraId="3BDF0A1D" w14:textId="77777777" w:rsidR="004D0F7E" w:rsidRPr="00412C74" w:rsidRDefault="004D0F7E" w:rsidP="004D0F7E">
                      <w:pPr>
                        <w:pStyle w:val="03"/>
                      </w:pPr>
                    </w:p>
                  </w:txbxContent>
                </v:textbox>
                <w10:wrap type="square" anchorx="margin"/>
              </v:shape>
            </w:pict>
          </mc:Fallback>
        </mc:AlternateContent>
      </w:r>
      <w:r w:rsidRPr="000D4862">
        <w:rPr>
          <w:noProof/>
          <w:lang w:eastAsia="lt-LT"/>
        </w:rPr>
        <mc:AlternateContent>
          <mc:Choice Requires="wps">
            <w:drawing>
              <wp:anchor distT="0" distB="0" distL="114300" distR="114300" simplePos="0" relativeHeight="251661312" behindDoc="0" locked="0" layoutInCell="1" allowOverlap="1" wp14:anchorId="6E303DFD" wp14:editId="4BC6F43E">
                <wp:simplePos x="0" y="0"/>
                <wp:positionH relativeFrom="margin">
                  <wp:align>right</wp:align>
                </wp:positionH>
                <wp:positionV relativeFrom="paragraph">
                  <wp:posOffset>480060</wp:posOffset>
                </wp:positionV>
                <wp:extent cx="6119495" cy="2357120"/>
                <wp:effectExtent l="0" t="0" r="0" b="5080"/>
                <wp:wrapSquare wrapText="bothSides"/>
                <wp:docPr id="2" name="Text Box 2"/>
                <wp:cNvGraphicFramePr/>
                <a:graphic xmlns:a="http://schemas.openxmlformats.org/drawingml/2006/main">
                  <a:graphicData uri="http://schemas.microsoft.com/office/word/2010/wordprocessingShape">
                    <wps:wsp>
                      <wps:cNvSpPr txBox="1"/>
                      <wps:spPr>
                        <a:xfrm>
                          <a:off x="0" y="0"/>
                          <a:ext cx="6119495" cy="2357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BA3360" w14:textId="05F95D55" w:rsidR="004D0F7E" w:rsidRPr="007E4A26" w:rsidRDefault="00AE25A2" w:rsidP="004D0F7E">
                            <w:pPr>
                              <w:pStyle w:val="08Pavadinimastitulis"/>
                              <w:rPr>
                                <w:rFonts w:cstheme="minorHAnsi"/>
                                <w:color w:val="08C1C9"/>
                                <w:spacing w:val="0"/>
                                <w:kern w:val="0"/>
                                <w:szCs w:val="48"/>
                                <w:lang w:val="lt-LT" w:eastAsia="en-US"/>
                              </w:rPr>
                            </w:pPr>
                            <w:bookmarkStart w:id="0" w:name="_Hlk520976689"/>
                            <w:bookmarkStart w:id="1" w:name="_Hlk520976690"/>
                            <w:bookmarkStart w:id="2" w:name="_Hlk520976691"/>
                            <w:bookmarkStart w:id="3" w:name="_Hlk520976692"/>
                            <w:bookmarkStart w:id="4" w:name="_Hlk520976693"/>
                            <w:bookmarkStart w:id="5" w:name="_Hlk520976694"/>
                            <w:bookmarkStart w:id="6" w:name="_Hlk520976695"/>
                            <w:bookmarkStart w:id="7" w:name="_Hlk520976696"/>
                            <w:bookmarkStart w:id="8" w:name="_Hlk520976697"/>
                            <w:bookmarkStart w:id="9" w:name="_Hlk520976698"/>
                            <w:bookmarkStart w:id="10" w:name="_Hlk520976699"/>
                            <w:bookmarkStart w:id="11" w:name="_Hlk520976700"/>
                            <w:bookmarkStart w:id="12" w:name="_Hlk520977069"/>
                            <w:bookmarkStart w:id="13" w:name="_Hlk520977070"/>
                            <w:r w:rsidRPr="007E4A26">
                              <w:rPr>
                                <w:rFonts w:cstheme="minorHAnsi"/>
                                <w:color w:val="08C1C9"/>
                                <w:spacing w:val="0"/>
                                <w:kern w:val="0"/>
                                <w:szCs w:val="48"/>
                                <w:lang w:val="lt-LT" w:eastAsia="en-US"/>
                              </w:rPr>
                              <w:t xml:space="preserve">ELEKTROMOBILIŲ ĮKROVIMO </w:t>
                            </w:r>
                            <w:r w:rsidR="00AC217B" w:rsidRPr="007E4A26">
                              <w:rPr>
                                <w:rFonts w:cstheme="minorHAnsi"/>
                                <w:color w:val="08C1C9"/>
                                <w:spacing w:val="0"/>
                                <w:kern w:val="0"/>
                                <w:szCs w:val="48"/>
                                <w:lang w:val="lt-LT" w:eastAsia="en-US"/>
                              </w:rPr>
                              <w:t>PRIEIGŲ</w:t>
                            </w:r>
                            <w:r w:rsidR="007E4A26" w:rsidRPr="007E4A26">
                              <w:rPr>
                                <w:rFonts w:cstheme="minorHAnsi"/>
                                <w:color w:val="08C1C9"/>
                                <w:spacing w:val="0"/>
                                <w:kern w:val="0"/>
                                <w:szCs w:val="48"/>
                                <w:lang w:val="lt-LT" w:eastAsia="en-US"/>
                              </w:rPr>
                              <w:t xml:space="preserve"> </w:t>
                            </w:r>
                            <w:r w:rsidR="006C7C96" w:rsidRPr="007E4A26">
                              <w:rPr>
                                <w:rFonts w:cstheme="minorHAnsi"/>
                                <w:color w:val="08C1C9"/>
                                <w:spacing w:val="0"/>
                                <w:kern w:val="0"/>
                                <w:szCs w:val="48"/>
                                <w:lang w:val="lt-LT" w:eastAsia="en-US"/>
                              </w:rPr>
                              <w:t>ĮSIGIJIMO IR</w:t>
                            </w:r>
                            <w:r w:rsidR="00B1011B" w:rsidRPr="007E4A26">
                              <w:rPr>
                                <w:rFonts w:cstheme="minorHAnsi"/>
                                <w:color w:val="08C1C9"/>
                                <w:spacing w:val="0"/>
                                <w:kern w:val="0"/>
                                <w:szCs w:val="48"/>
                                <w:lang w:val="lt-LT" w:eastAsia="en-US"/>
                              </w:rPr>
                              <w:t xml:space="preserve"> </w:t>
                            </w:r>
                            <w:r w:rsidRPr="007E4A26">
                              <w:rPr>
                                <w:rFonts w:cstheme="minorHAnsi"/>
                                <w:color w:val="08C1C9"/>
                                <w:spacing w:val="0"/>
                                <w:kern w:val="0"/>
                                <w:szCs w:val="48"/>
                                <w:lang w:val="lt-LT" w:eastAsia="en-US"/>
                              </w:rPr>
                              <w:t xml:space="preserve">ĮRENGIMO FIKSUOTŲJŲ </w:t>
                            </w:r>
                            <w:r w:rsidR="00B1011B" w:rsidRPr="007E4A26">
                              <w:rPr>
                                <w:rFonts w:cstheme="minorHAnsi"/>
                                <w:color w:val="08C1C9"/>
                                <w:spacing w:val="0"/>
                                <w:kern w:val="0"/>
                                <w:szCs w:val="48"/>
                                <w:lang w:val="lt-LT" w:eastAsia="en-US"/>
                              </w:rPr>
                              <w:t xml:space="preserve">VIENETO </w:t>
                            </w:r>
                            <w:r w:rsidRPr="007E4A26">
                              <w:rPr>
                                <w:rFonts w:cstheme="minorHAnsi"/>
                                <w:color w:val="08C1C9"/>
                                <w:spacing w:val="0"/>
                                <w:kern w:val="0"/>
                                <w:szCs w:val="48"/>
                                <w:lang w:val="lt-LT" w:eastAsia="en-US"/>
                              </w:rPr>
                              <w:t xml:space="preserve">ĮKAINIŲ NUSTATYMO </w:t>
                            </w:r>
                            <w:r w:rsidR="004D0F7E" w:rsidRPr="007E4A26">
                              <w:rPr>
                                <w:rFonts w:cstheme="minorHAnsi"/>
                                <w:color w:val="08C1C9"/>
                                <w:spacing w:val="0"/>
                                <w:kern w:val="0"/>
                                <w:szCs w:val="48"/>
                                <w:lang w:val="lt-LT" w:eastAsia="en-US"/>
                              </w:rPr>
                              <w:t xml:space="preserve">TYRIMAS </w:t>
                            </w:r>
                            <w:bookmarkEnd w:id="0"/>
                            <w:bookmarkEnd w:id="1"/>
                            <w:bookmarkEnd w:id="2"/>
                            <w:bookmarkEnd w:id="3"/>
                            <w:bookmarkEnd w:id="4"/>
                            <w:bookmarkEnd w:id="5"/>
                            <w:bookmarkEnd w:id="6"/>
                            <w:bookmarkEnd w:id="7"/>
                            <w:bookmarkEnd w:id="8"/>
                            <w:bookmarkEnd w:id="9"/>
                            <w:bookmarkEnd w:id="10"/>
                            <w:bookmarkEnd w:id="11"/>
                            <w:bookmarkEnd w:id="12"/>
                            <w:bookmarkEnd w:id="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03DFD" id="Text Box 2" o:spid="_x0000_s1027" type="#_x0000_t202" style="position:absolute;margin-left:430.65pt;margin-top:37.8pt;width:481.85pt;height:18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" filled="f" stroked="f">
                <v:textbox>
                  <w:txbxContent>
                    <w:p w14:paraId="20BA3360" w14:textId="05F95D55" w:rsidR="004D0F7E" w:rsidRPr="007E4A26" w:rsidRDefault="00AE25A2" w:rsidP="004D0F7E">
                      <w:pPr>
                        <w:pStyle w:val="08Pavadinimastitulis"/>
                        <w:rPr>
                          <w:rFonts w:cstheme="minorHAnsi"/>
                          <w:color w:val="08C1C9"/>
                          <w:spacing w:val="0"/>
                          <w:kern w:val="0"/>
                          <w:szCs w:val="48"/>
                          <w:lang w:val="lt-LT" w:eastAsia="en-US"/>
                        </w:rPr>
                      </w:pPr>
                      <w:bookmarkStart w:id="14" w:name="_Hlk520976689"/>
                      <w:bookmarkStart w:id="15" w:name="_Hlk520976690"/>
                      <w:bookmarkStart w:id="16" w:name="_Hlk520976691"/>
                      <w:bookmarkStart w:id="17" w:name="_Hlk520976692"/>
                      <w:bookmarkStart w:id="18" w:name="_Hlk520976693"/>
                      <w:bookmarkStart w:id="19" w:name="_Hlk520976694"/>
                      <w:bookmarkStart w:id="20" w:name="_Hlk520976695"/>
                      <w:bookmarkStart w:id="21" w:name="_Hlk520976696"/>
                      <w:bookmarkStart w:id="22" w:name="_Hlk520976697"/>
                      <w:bookmarkStart w:id="23" w:name="_Hlk520976698"/>
                      <w:bookmarkStart w:id="24" w:name="_Hlk520976699"/>
                      <w:bookmarkStart w:id="25" w:name="_Hlk520976700"/>
                      <w:bookmarkStart w:id="26" w:name="_Hlk520977069"/>
                      <w:bookmarkStart w:id="27" w:name="_Hlk520977070"/>
                      <w:r w:rsidRPr="007E4A26">
                        <w:rPr>
                          <w:rFonts w:cstheme="minorHAnsi"/>
                          <w:color w:val="08C1C9"/>
                          <w:spacing w:val="0"/>
                          <w:kern w:val="0"/>
                          <w:szCs w:val="48"/>
                          <w:lang w:val="lt-LT" w:eastAsia="en-US"/>
                        </w:rPr>
                        <w:t xml:space="preserve">ELEKTROMOBILIŲ ĮKROVIMO </w:t>
                      </w:r>
                      <w:r w:rsidR="00AC217B" w:rsidRPr="007E4A26">
                        <w:rPr>
                          <w:rFonts w:cstheme="minorHAnsi"/>
                          <w:color w:val="08C1C9"/>
                          <w:spacing w:val="0"/>
                          <w:kern w:val="0"/>
                          <w:szCs w:val="48"/>
                          <w:lang w:val="lt-LT" w:eastAsia="en-US"/>
                        </w:rPr>
                        <w:t>PRIEIGŲ</w:t>
                      </w:r>
                      <w:r w:rsidR="007E4A26" w:rsidRPr="007E4A26">
                        <w:rPr>
                          <w:rFonts w:cstheme="minorHAnsi"/>
                          <w:color w:val="08C1C9"/>
                          <w:spacing w:val="0"/>
                          <w:kern w:val="0"/>
                          <w:szCs w:val="48"/>
                          <w:lang w:val="lt-LT" w:eastAsia="en-US"/>
                        </w:rPr>
                        <w:t xml:space="preserve"> </w:t>
                      </w:r>
                      <w:r w:rsidR="006C7C96" w:rsidRPr="007E4A26">
                        <w:rPr>
                          <w:rFonts w:cstheme="minorHAnsi"/>
                          <w:color w:val="08C1C9"/>
                          <w:spacing w:val="0"/>
                          <w:kern w:val="0"/>
                          <w:szCs w:val="48"/>
                          <w:lang w:val="lt-LT" w:eastAsia="en-US"/>
                        </w:rPr>
                        <w:t>ĮSIGIJIMO IR</w:t>
                      </w:r>
                      <w:r w:rsidR="00B1011B" w:rsidRPr="007E4A26">
                        <w:rPr>
                          <w:rFonts w:cstheme="minorHAnsi"/>
                          <w:color w:val="08C1C9"/>
                          <w:spacing w:val="0"/>
                          <w:kern w:val="0"/>
                          <w:szCs w:val="48"/>
                          <w:lang w:val="lt-LT" w:eastAsia="en-US"/>
                        </w:rPr>
                        <w:t xml:space="preserve"> </w:t>
                      </w:r>
                      <w:r w:rsidRPr="007E4A26">
                        <w:rPr>
                          <w:rFonts w:cstheme="minorHAnsi"/>
                          <w:color w:val="08C1C9"/>
                          <w:spacing w:val="0"/>
                          <w:kern w:val="0"/>
                          <w:szCs w:val="48"/>
                          <w:lang w:val="lt-LT" w:eastAsia="en-US"/>
                        </w:rPr>
                        <w:t xml:space="preserve">ĮRENGIMO FIKSUOTŲJŲ </w:t>
                      </w:r>
                      <w:r w:rsidR="00B1011B" w:rsidRPr="007E4A26">
                        <w:rPr>
                          <w:rFonts w:cstheme="minorHAnsi"/>
                          <w:color w:val="08C1C9"/>
                          <w:spacing w:val="0"/>
                          <w:kern w:val="0"/>
                          <w:szCs w:val="48"/>
                          <w:lang w:val="lt-LT" w:eastAsia="en-US"/>
                        </w:rPr>
                        <w:t xml:space="preserve">VIENETO </w:t>
                      </w:r>
                      <w:r w:rsidRPr="007E4A26">
                        <w:rPr>
                          <w:rFonts w:cstheme="minorHAnsi"/>
                          <w:color w:val="08C1C9"/>
                          <w:spacing w:val="0"/>
                          <w:kern w:val="0"/>
                          <w:szCs w:val="48"/>
                          <w:lang w:val="lt-LT" w:eastAsia="en-US"/>
                        </w:rPr>
                        <w:t xml:space="preserve">ĮKAINIŲ NUSTATYMO </w:t>
                      </w:r>
                      <w:r w:rsidR="004D0F7E" w:rsidRPr="007E4A26">
                        <w:rPr>
                          <w:rFonts w:cstheme="minorHAnsi"/>
                          <w:color w:val="08C1C9"/>
                          <w:spacing w:val="0"/>
                          <w:kern w:val="0"/>
                          <w:szCs w:val="48"/>
                          <w:lang w:val="lt-LT" w:eastAsia="en-US"/>
                        </w:rPr>
                        <w:t xml:space="preserve">TYRIMAS </w:t>
                      </w:r>
                      <w:bookmarkEnd w:id="14"/>
                      <w:bookmarkEnd w:id="15"/>
                      <w:bookmarkEnd w:id="16"/>
                      <w:bookmarkEnd w:id="17"/>
                      <w:bookmarkEnd w:id="18"/>
                      <w:bookmarkEnd w:id="19"/>
                      <w:bookmarkEnd w:id="20"/>
                      <w:bookmarkEnd w:id="21"/>
                      <w:bookmarkEnd w:id="22"/>
                      <w:bookmarkEnd w:id="23"/>
                      <w:bookmarkEnd w:id="24"/>
                      <w:bookmarkEnd w:id="25"/>
                      <w:bookmarkEnd w:id="26"/>
                      <w:bookmarkEnd w:id="27"/>
                    </w:p>
                  </w:txbxContent>
                </v:textbox>
                <w10:wrap type="square" anchorx="margin"/>
              </v:shape>
            </w:pict>
          </mc:Fallback>
        </mc:AlternateContent>
      </w:r>
      <w:r>
        <w:tab/>
      </w:r>
    </w:p>
    <w:p w14:paraId="24B93F3D" w14:textId="77777777" w:rsidR="005B6181" w:rsidRPr="005F4047" w:rsidRDefault="005B6181" w:rsidP="005B6181">
      <w:pPr>
        <w:pStyle w:val="Point0"/>
        <w:jc w:val="center"/>
      </w:pPr>
      <w:r w:rsidRPr="005F4047">
        <w:rPr>
          <w:b/>
          <w:bCs/>
          <w:sz w:val="28"/>
          <w:szCs w:val="28"/>
          <w:shd w:val="clear" w:color="auto" w:fill="FFFFFF"/>
        </w:rPr>
        <w:lastRenderedPageBreak/>
        <w:t>Supaprastintai apmokamų išlaidų dydžių nustatymo pagrindimas</w:t>
      </w:r>
    </w:p>
    <w:p w14:paraId="71BBD66E" w14:textId="77777777" w:rsidR="003E2292" w:rsidRPr="005F4047" w:rsidRDefault="005B6181" w:rsidP="007139E6">
      <w:pPr>
        <w:pStyle w:val="Point0"/>
      </w:pPr>
      <w:r w:rsidRPr="005F4047">
        <w:t xml:space="preserve">B. </w:t>
      </w:r>
      <w:r w:rsidR="003E2292" w:rsidRPr="005F4047">
        <w:t>Duomenys pagal veiksmo rūšį</w:t>
      </w:r>
      <w:r w:rsidR="007139E6" w:rsidRPr="005F4047">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5F4047" w:rsidRPr="005F4047" w14:paraId="79EDCA8F" w14:textId="77777777" w:rsidTr="224EA48E">
        <w:trPr>
          <w:trHeight w:val="851"/>
        </w:trPr>
        <w:tc>
          <w:tcPr>
            <w:tcW w:w="3417" w:type="dxa"/>
            <w:shd w:val="clear" w:color="auto" w:fill="auto"/>
            <w:noWrap/>
            <w:vAlign w:val="center"/>
          </w:tcPr>
          <w:p w14:paraId="4E1E40E8" w14:textId="77777777" w:rsidR="003E2292" w:rsidRPr="005F4047" w:rsidRDefault="003E2292" w:rsidP="001B174E">
            <w:pPr>
              <w:spacing w:before="60" w:after="60" w:line="240" w:lineRule="auto"/>
            </w:pPr>
            <w:r w:rsidRPr="005F4047">
              <w:t>1. Veiksmo rūšies aprašymas, įskaitant įgyvendinimo tvarkaraštį</w:t>
            </w:r>
            <w:r w:rsidRPr="005F4047">
              <w:rPr>
                <w:rStyle w:val="Puslapioinaosnuoroda"/>
              </w:rPr>
              <w:footnoteReference w:id="1"/>
            </w:r>
          </w:p>
        </w:tc>
        <w:tc>
          <w:tcPr>
            <w:tcW w:w="5670" w:type="dxa"/>
            <w:vAlign w:val="center"/>
          </w:tcPr>
          <w:p w14:paraId="789B53E1" w14:textId="4393F26E" w:rsidR="003E2292" w:rsidRPr="005F4047" w:rsidRDefault="00A068B3" w:rsidP="00186D6A">
            <w:pPr>
              <w:spacing w:before="60" w:after="60" w:line="240" w:lineRule="auto"/>
              <w:jc w:val="both"/>
            </w:pPr>
            <w:r w:rsidRPr="005F4047">
              <w:rPr>
                <w:szCs w:val="24"/>
              </w:rPr>
              <w:t xml:space="preserve">Įgyvendinant Ekonomikos gaivinimo ir atsparumo </w:t>
            </w:r>
            <w:r w:rsidRPr="007208F8">
              <w:rPr>
                <w:szCs w:val="24"/>
              </w:rPr>
              <w:t>didinimo plan</w:t>
            </w:r>
            <w:r w:rsidR="000422FD" w:rsidRPr="007208F8">
              <w:rPr>
                <w:szCs w:val="24"/>
              </w:rPr>
              <w:t>o</w:t>
            </w:r>
            <w:r w:rsidRPr="007208F8">
              <w:rPr>
                <w:szCs w:val="24"/>
              </w:rPr>
              <w:t xml:space="preserve"> „Naujos kartos Lietuva“</w:t>
            </w:r>
            <w:r w:rsidR="000422FD" w:rsidRPr="007208F8">
              <w:rPr>
                <w:rStyle w:val="Puslapioinaosnuoroda"/>
                <w:szCs w:val="24"/>
              </w:rPr>
              <w:footnoteReference w:id="2"/>
            </w:r>
            <w:r w:rsidR="000422FD" w:rsidRPr="007208F8">
              <w:rPr>
                <w:szCs w:val="24"/>
              </w:rPr>
              <w:t xml:space="preserve"> pirmojo ramsčio „Žalioji pertvarka“ </w:t>
            </w:r>
            <w:r w:rsidR="00707CB7" w:rsidRPr="007208F8">
              <w:rPr>
                <w:szCs w:val="24"/>
              </w:rPr>
              <w:t xml:space="preserve">B.2 </w:t>
            </w:r>
            <w:r w:rsidR="000422FD" w:rsidRPr="007208F8">
              <w:rPr>
                <w:szCs w:val="24"/>
              </w:rPr>
              <w:t xml:space="preserve">komponento „Žalioji Lietuvos transformacija“ </w:t>
            </w:r>
            <w:r w:rsidR="00707CB7" w:rsidRPr="007208F8">
              <w:rPr>
                <w:szCs w:val="24"/>
              </w:rPr>
              <w:t>B.1.2.</w:t>
            </w:r>
            <w:r w:rsidR="000422FD" w:rsidRPr="007208F8">
              <w:rPr>
                <w:szCs w:val="24"/>
              </w:rPr>
              <w:t xml:space="preserve">3 </w:t>
            </w:r>
            <w:r w:rsidR="00707CB7" w:rsidRPr="007208F8">
              <w:rPr>
                <w:szCs w:val="24"/>
              </w:rPr>
              <w:t xml:space="preserve">papriemonę </w:t>
            </w:r>
            <w:r w:rsidR="000422FD" w:rsidRPr="007208F8">
              <w:rPr>
                <w:szCs w:val="24"/>
              </w:rPr>
              <w:t xml:space="preserve">„Transporto priemonių </w:t>
            </w:r>
            <w:r w:rsidR="000422FD" w:rsidRPr="00B32AC9">
              <w:rPr>
                <w:szCs w:val="24"/>
              </w:rPr>
              <w:t>įkrovimo</w:t>
            </w:r>
            <w:r w:rsidR="00707CB7" w:rsidRPr="00B32AC9">
              <w:rPr>
                <w:szCs w:val="24"/>
              </w:rPr>
              <w:t xml:space="preserve"> </w:t>
            </w:r>
            <w:r w:rsidR="003122B7" w:rsidRPr="00B32AC9">
              <w:rPr>
                <w:szCs w:val="24"/>
              </w:rPr>
              <w:t>/ alternatyviųjų degalų</w:t>
            </w:r>
            <w:r w:rsidR="003122B7" w:rsidRPr="00B32AC9">
              <w:rPr>
                <w:noProof/>
                <w:szCs w:val="24"/>
                <w:u w:val="single"/>
              </w:rPr>
              <w:t xml:space="preserve"> </w:t>
            </w:r>
            <w:r w:rsidR="000422FD" w:rsidRPr="00B32AC9">
              <w:rPr>
                <w:szCs w:val="24"/>
              </w:rPr>
              <w:t xml:space="preserve">pildymo infrastruktūros </w:t>
            </w:r>
            <w:r w:rsidR="003122B7" w:rsidRPr="00B32AC9">
              <w:rPr>
                <w:szCs w:val="24"/>
              </w:rPr>
              <w:t>įrengimas</w:t>
            </w:r>
            <w:r w:rsidR="000422FD" w:rsidRPr="00B32AC9">
              <w:rPr>
                <w:szCs w:val="24"/>
              </w:rPr>
              <w:t>“</w:t>
            </w:r>
            <w:r w:rsidR="00707CB7" w:rsidRPr="00B32AC9">
              <w:rPr>
                <w:szCs w:val="24"/>
              </w:rPr>
              <w:t>,</w:t>
            </w:r>
            <w:r w:rsidR="00707CB7" w:rsidRPr="007208F8">
              <w:rPr>
                <w:szCs w:val="24"/>
              </w:rPr>
              <w:t xml:space="preserve"> kurios tikslas – sukurti optimalų viešųjų, pusiau viešųjų ir privačių įkrovimo ir papildymo infrastruktūros elementų tinklą, sudarantį palankias prielaidas verslui ir gyventojams eksploatuoti netaršias transporto priemones</w:t>
            </w:r>
            <w:r w:rsidR="000422FD" w:rsidRPr="007208F8">
              <w:rPr>
                <w:szCs w:val="24"/>
              </w:rPr>
              <w:t xml:space="preserve">, </w:t>
            </w:r>
            <w:r w:rsidRPr="007208F8">
              <w:rPr>
                <w:szCs w:val="24"/>
              </w:rPr>
              <w:t>bus taikomi fiksuot</w:t>
            </w:r>
            <w:r w:rsidR="00186D6A" w:rsidRPr="007208F8">
              <w:rPr>
                <w:szCs w:val="24"/>
              </w:rPr>
              <w:t>ieji</w:t>
            </w:r>
            <w:r w:rsidRPr="007208F8">
              <w:rPr>
                <w:szCs w:val="24"/>
              </w:rPr>
              <w:t xml:space="preserve"> </w:t>
            </w:r>
            <w:r w:rsidR="00186D6A" w:rsidRPr="007208F8">
              <w:rPr>
                <w:szCs w:val="24"/>
              </w:rPr>
              <w:t xml:space="preserve">vieneto </w:t>
            </w:r>
            <w:r w:rsidRPr="007208F8">
              <w:rPr>
                <w:szCs w:val="24"/>
              </w:rPr>
              <w:t>įkaini</w:t>
            </w:r>
            <w:r w:rsidR="00186D6A" w:rsidRPr="007208F8">
              <w:rPr>
                <w:szCs w:val="24"/>
              </w:rPr>
              <w:t>ai</w:t>
            </w:r>
            <w:r w:rsidR="00C2474D" w:rsidRPr="007208F8">
              <w:rPr>
                <w:szCs w:val="24"/>
              </w:rPr>
              <w:t xml:space="preserve">, </w:t>
            </w:r>
            <w:r w:rsidR="00186D6A" w:rsidRPr="007208F8">
              <w:rPr>
                <w:szCs w:val="24"/>
              </w:rPr>
              <w:t xml:space="preserve">kompensuojant </w:t>
            </w:r>
            <w:r w:rsidR="00017173" w:rsidRPr="007208F8">
              <w:rPr>
                <w:szCs w:val="24"/>
              </w:rPr>
              <w:t xml:space="preserve">privačių </w:t>
            </w:r>
            <w:r w:rsidR="00186D6A" w:rsidRPr="007208F8">
              <w:rPr>
                <w:szCs w:val="24"/>
              </w:rPr>
              <w:t xml:space="preserve">elektromobilių įkrovimo prieigų infrastruktūros </w:t>
            </w:r>
            <w:r w:rsidR="00845D60" w:rsidRPr="007208F8">
              <w:rPr>
                <w:szCs w:val="24"/>
              </w:rPr>
              <w:t xml:space="preserve">sukūrimo </w:t>
            </w:r>
            <w:r w:rsidR="00186D6A" w:rsidRPr="007208F8">
              <w:rPr>
                <w:szCs w:val="24"/>
              </w:rPr>
              <w:t xml:space="preserve">(prieigų </w:t>
            </w:r>
            <w:r w:rsidR="00845D60" w:rsidRPr="007208F8">
              <w:rPr>
                <w:szCs w:val="24"/>
              </w:rPr>
              <w:t>įsigijimo</w:t>
            </w:r>
            <w:r w:rsidR="00186D6A" w:rsidRPr="007208F8">
              <w:rPr>
                <w:szCs w:val="24"/>
              </w:rPr>
              <w:t xml:space="preserve">, </w:t>
            </w:r>
            <w:r w:rsidR="00845D60" w:rsidRPr="007208F8">
              <w:rPr>
                <w:szCs w:val="24"/>
              </w:rPr>
              <w:t xml:space="preserve">montavimo </w:t>
            </w:r>
            <w:r w:rsidR="00186D6A" w:rsidRPr="007208F8">
              <w:rPr>
                <w:szCs w:val="24"/>
              </w:rPr>
              <w:t>ir jų įrengim</w:t>
            </w:r>
            <w:r w:rsidR="00845D60" w:rsidRPr="007208F8">
              <w:rPr>
                <w:szCs w:val="24"/>
              </w:rPr>
              <w:t>o</w:t>
            </w:r>
            <w:r w:rsidR="00186D6A" w:rsidRPr="007208F8">
              <w:rPr>
                <w:szCs w:val="24"/>
              </w:rPr>
              <w:t>)</w:t>
            </w:r>
            <w:r w:rsidR="00845D60" w:rsidRPr="007208F8">
              <w:rPr>
                <w:szCs w:val="24"/>
              </w:rPr>
              <w:t xml:space="preserve"> išlaidas</w:t>
            </w:r>
            <w:r w:rsidR="00186D6A" w:rsidRPr="007208F8">
              <w:rPr>
                <w:szCs w:val="24"/>
              </w:rPr>
              <w:t>.</w:t>
            </w:r>
            <w:r w:rsidR="00707CB7" w:rsidRPr="007208F8">
              <w:rPr>
                <w:szCs w:val="24"/>
              </w:rPr>
              <w:t xml:space="preserve"> </w:t>
            </w:r>
            <w:r w:rsidRPr="007208F8">
              <w:rPr>
                <w:szCs w:val="24"/>
              </w:rPr>
              <w:t xml:space="preserve">Numatoma </w:t>
            </w:r>
            <w:r w:rsidR="00921176" w:rsidRPr="007208F8">
              <w:rPr>
                <w:szCs w:val="24"/>
              </w:rPr>
              <w:t>veiksmų atrankos</w:t>
            </w:r>
            <w:r w:rsidRPr="007208F8">
              <w:rPr>
                <w:szCs w:val="24"/>
              </w:rPr>
              <w:t xml:space="preserve"> pradžia – 202</w:t>
            </w:r>
            <w:r w:rsidR="00644433" w:rsidRPr="007208F8">
              <w:rPr>
                <w:szCs w:val="24"/>
              </w:rPr>
              <w:t>3</w:t>
            </w:r>
            <w:r w:rsidRPr="007208F8">
              <w:rPr>
                <w:szCs w:val="24"/>
              </w:rPr>
              <w:t xml:space="preserve"> m.</w:t>
            </w:r>
            <w:r w:rsidR="009534D7" w:rsidRPr="007208F8">
              <w:rPr>
                <w:szCs w:val="24"/>
              </w:rPr>
              <w:t xml:space="preserve"> III ketv.</w:t>
            </w:r>
            <w:r w:rsidRPr="007208F8">
              <w:rPr>
                <w:szCs w:val="24"/>
              </w:rPr>
              <w:t>, pabaiga –</w:t>
            </w:r>
            <w:r w:rsidR="00C437EB" w:rsidRPr="007208F8">
              <w:rPr>
                <w:szCs w:val="24"/>
              </w:rPr>
              <w:t xml:space="preserve">2026 </w:t>
            </w:r>
            <w:r w:rsidRPr="007208F8">
              <w:rPr>
                <w:szCs w:val="24"/>
              </w:rPr>
              <w:t>m.</w:t>
            </w:r>
            <w:r w:rsidR="009534D7" w:rsidRPr="007208F8">
              <w:rPr>
                <w:szCs w:val="24"/>
              </w:rPr>
              <w:t xml:space="preserve"> III ketv.</w:t>
            </w:r>
          </w:p>
        </w:tc>
      </w:tr>
      <w:tr w:rsidR="003E2292" w:rsidRPr="00D62DD8" w14:paraId="07D5F0EB" w14:textId="77777777" w:rsidTr="224EA48E">
        <w:trPr>
          <w:trHeight w:val="851"/>
        </w:trPr>
        <w:tc>
          <w:tcPr>
            <w:tcW w:w="3417" w:type="dxa"/>
            <w:shd w:val="clear" w:color="auto" w:fill="auto"/>
            <w:noWrap/>
            <w:vAlign w:val="center"/>
          </w:tcPr>
          <w:p w14:paraId="3280B87A" w14:textId="77777777" w:rsidR="003E2292" w:rsidRPr="00D62DD8" w:rsidRDefault="003E2292" w:rsidP="001B174E">
            <w:pPr>
              <w:spacing w:before="60" w:after="60" w:line="240" w:lineRule="auto"/>
            </w:pPr>
            <w:r>
              <w:t xml:space="preserve">2. Konkretus (-ūs) </w:t>
            </w:r>
            <w:r w:rsidR="007139E6">
              <w:t>uždavinys </w:t>
            </w:r>
            <w:r>
              <w:t xml:space="preserve">(-ai) </w:t>
            </w:r>
          </w:p>
        </w:tc>
        <w:tc>
          <w:tcPr>
            <w:tcW w:w="5670" w:type="dxa"/>
            <w:vAlign w:val="center"/>
          </w:tcPr>
          <w:p w14:paraId="0F31E2C9" w14:textId="0DCD310C" w:rsidR="003E2292" w:rsidRPr="00D62DD8" w:rsidRDefault="000422FD" w:rsidP="003A67C7">
            <w:pPr>
              <w:spacing w:before="60" w:after="60" w:line="240" w:lineRule="auto"/>
              <w:jc w:val="both"/>
            </w:pPr>
            <w:r w:rsidRPr="000422FD">
              <w:t>B.1.2. 2</w:t>
            </w:r>
            <w:r>
              <w:t xml:space="preserve"> reforma</w:t>
            </w:r>
            <w:r w:rsidRPr="000422FD">
              <w:t xml:space="preserve"> „Judame neteršdami aplinkos“</w:t>
            </w:r>
            <w:r w:rsidRPr="000422FD" w:rsidDel="000422FD">
              <w:t xml:space="preserve"> </w:t>
            </w:r>
          </w:p>
        </w:tc>
      </w:tr>
      <w:tr w:rsidR="003E2292" w:rsidRPr="00D62DD8" w14:paraId="41618E0B" w14:textId="77777777" w:rsidTr="224EA48E">
        <w:trPr>
          <w:trHeight w:val="851"/>
        </w:trPr>
        <w:tc>
          <w:tcPr>
            <w:tcW w:w="3417" w:type="dxa"/>
            <w:shd w:val="clear" w:color="auto" w:fill="auto"/>
            <w:noWrap/>
            <w:vAlign w:val="center"/>
          </w:tcPr>
          <w:p w14:paraId="35882E2E" w14:textId="77777777" w:rsidR="003E2292" w:rsidRPr="00D62DD8" w:rsidRDefault="003E2292" w:rsidP="001B174E">
            <w:pPr>
              <w:spacing w:before="60" w:after="60" w:line="240" w:lineRule="auto"/>
            </w:pPr>
            <w:r>
              <w:t>3. Rodiklis, kurį pasiekus išlaidos yra atlyginamos</w:t>
            </w:r>
            <w:r w:rsidRPr="00D62DD8">
              <w:rPr>
                <w:rStyle w:val="Puslapioinaosnuoroda"/>
              </w:rPr>
              <w:footnoteReference w:id="3"/>
            </w:r>
          </w:p>
        </w:tc>
        <w:tc>
          <w:tcPr>
            <w:tcW w:w="5670" w:type="dxa"/>
            <w:vAlign w:val="center"/>
          </w:tcPr>
          <w:p w14:paraId="44606723" w14:textId="6873EB35" w:rsidR="003E2292" w:rsidRPr="007208F8" w:rsidRDefault="005267E6" w:rsidP="00733668">
            <w:pPr>
              <w:spacing w:before="60" w:after="60" w:line="240" w:lineRule="auto"/>
              <w:jc w:val="both"/>
            </w:pPr>
            <w:r w:rsidRPr="007208F8">
              <w:t>Į</w:t>
            </w:r>
            <w:r w:rsidR="00A73F50" w:rsidRPr="007208F8">
              <w:t xml:space="preserve">rengta </w:t>
            </w:r>
            <w:r w:rsidR="009534D7" w:rsidRPr="007208F8">
              <w:t xml:space="preserve">privati </w:t>
            </w:r>
            <w:r w:rsidR="00A73F50" w:rsidRPr="007208F8">
              <w:t xml:space="preserve">elektromobilių įkrovimo </w:t>
            </w:r>
            <w:r w:rsidRPr="007208F8">
              <w:t>prieiga</w:t>
            </w:r>
            <w:r w:rsidR="00644433" w:rsidRPr="007208F8">
              <w:t xml:space="preserve"> </w:t>
            </w:r>
          </w:p>
        </w:tc>
      </w:tr>
      <w:tr w:rsidR="003E2292" w:rsidRPr="00D62DD8" w14:paraId="2FA199C3" w14:textId="77777777" w:rsidTr="224EA48E">
        <w:trPr>
          <w:trHeight w:val="851"/>
        </w:trPr>
        <w:tc>
          <w:tcPr>
            <w:tcW w:w="3417" w:type="dxa"/>
            <w:shd w:val="clear" w:color="auto" w:fill="auto"/>
            <w:noWrap/>
            <w:vAlign w:val="center"/>
          </w:tcPr>
          <w:p w14:paraId="56931E27" w14:textId="77777777" w:rsidR="003E2292" w:rsidRPr="00D62DD8" w:rsidRDefault="003E2292" w:rsidP="001B174E">
            <w:pPr>
              <w:spacing w:before="60" w:after="60" w:line="240" w:lineRule="auto"/>
            </w:pPr>
            <w:r>
              <w:t>4. Rodiklio, kurį pasiekus išlaidos yra atlyginamos, matavimo vienetas</w:t>
            </w:r>
          </w:p>
        </w:tc>
        <w:tc>
          <w:tcPr>
            <w:tcW w:w="5670" w:type="dxa"/>
            <w:vAlign w:val="center"/>
          </w:tcPr>
          <w:p w14:paraId="64F8960F" w14:textId="53AC0026" w:rsidR="003E2292" w:rsidRPr="007208F8" w:rsidRDefault="00845D60" w:rsidP="00733668">
            <w:pPr>
              <w:spacing w:before="60" w:after="60" w:line="240" w:lineRule="auto"/>
              <w:jc w:val="both"/>
            </w:pPr>
            <w:r w:rsidRPr="007208F8">
              <w:t xml:space="preserve">Įrengtų </w:t>
            </w:r>
            <w:r w:rsidR="009534D7" w:rsidRPr="007208F8">
              <w:t xml:space="preserve">privačių </w:t>
            </w:r>
            <w:r w:rsidR="005267E6" w:rsidRPr="007208F8">
              <w:t xml:space="preserve">elektromobilių įkrovimo prieigų </w:t>
            </w:r>
            <w:r w:rsidR="00C43380" w:rsidRPr="007208F8">
              <w:t>skaičius, vnt.</w:t>
            </w:r>
          </w:p>
        </w:tc>
      </w:tr>
      <w:tr w:rsidR="003E2292" w:rsidRPr="00D62DD8" w14:paraId="195B56BD" w14:textId="77777777" w:rsidTr="224EA48E">
        <w:trPr>
          <w:trHeight w:val="851"/>
        </w:trPr>
        <w:tc>
          <w:tcPr>
            <w:tcW w:w="3417" w:type="dxa"/>
            <w:shd w:val="clear" w:color="auto" w:fill="auto"/>
            <w:noWrap/>
            <w:vAlign w:val="center"/>
          </w:tcPr>
          <w:p w14:paraId="65949F49" w14:textId="77777777" w:rsidR="003E2292" w:rsidRPr="00D62DD8" w:rsidRDefault="003E2292" w:rsidP="001B174E">
            <w:pPr>
              <w:spacing w:before="60" w:after="60" w:line="240" w:lineRule="auto"/>
            </w:pPr>
            <w:r>
              <w:t>5. Fiksuotasis vieneto įkainis, fiksuotoji suma arba fiksuotoji norma</w:t>
            </w:r>
          </w:p>
        </w:tc>
        <w:tc>
          <w:tcPr>
            <w:tcW w:w="5670" w:type="dxa"/>
            <w:vAlign w:val="center"/>
          </w:tcPr>
          <w:p w14:paraId="11AF9E5F" w14:textId="77777777" w:rsidR="003E2292" w:rsidRPr="005F4047" w:rsidRDefault="004D0F7E" w:rsidP="001B174E">
            <w:pPr>
              <w:spacing w:before="60" w:after="60" w:line="240" w:lineRule="auto"/>
            </w:pPr>
            <w:r w:rsidRPr="005F4047">
              <w:t>Fiksuotasis vieneto įkainis</w:t>
            </w:r>
          </w:p>
        </w:tc>
      </w:tr>
      <w:tr w:rsidR="003E2292" w:rsidRPr="00D62DD8" w14:paraId="4A926A80" w14:textId="77777777" w:rsidTr="224EA48E">
        <w:trPr>
          <w:trHeight w:val="851"/>
        </w:trPr>
        <w:tc>
          <w:tcPr>
            <w:tcW w:w="3417" w:type="dxa"/>
            <w:shd w:val="clear" w:color="auto" w:fill="auto"/>
            <w:noWrap/>
            <w:vAlign w:val="center"/>
          </w:tcPr>
          <w:p w14:paraId="601B5B49" w14:textId="77777777" w:rsidR="003E2292" w:rsidRPr="00D62DD8" w:rsidRDefault="003E2292" w:rsidP="001B174E">
            <w:pPr>
              <w:spacing w:before="60" w:after="60" w:line="240" w:lineRule="auto"/>
            </w:pPr>
            <w:r>
              <w:t>6. Supaprastinto išlaidų apmokėjimo suma už matavimo vienetą arba procentinis dydis (fiksuotųjų normų atveju)</w:t>
            </w:r>
          </w:p>
        </w:tc>
        <w:tc>
          <w:tcPr>
            <w:tcW w:w="5670" w:type="dxa"/>
            <w:vAlign w:val="center"/>
          </w:tcPr>
          <w:p w14:paraId="55715500" w14:textId="7E396998" w:rsidR="00B51FF7" w:rsidRPr="00B51FF7" w:rsidRDefault="00AA5833" w:rsidP="00EC0D4C">
            <w:pPr>
              <w:pStyle w:val="Sraopastraipa"/>
              <w:numPr>
                <w:ilvl w:val="0"/>
                <w:numId w:val="16"/>
              </w:numPr>
              <w:spacing w:line="240" w:lineRule="auto"/>
              <w:ind w:left="199" w:hanging="199"/>
              <w:jc w:val="both"/>
              <w:rPr>
                <w:b/>
                <w:bCs/>
              </w:rPr>
            </w:pPr>
            <w:r w:rsidRPr="00B51FF7">
              <w:rPr>
                <w:b/>
                <w:bCs/>
              </w:rPr>
              <w:t>FĮ</w:t>
            </w:r>
            <w:r w:rsidRPr="00B51FF7">
              <w:rPr>
                <w:b/>
                <w:bCs/>
                <w:vertAlign w:val="subscript"/>
              </w:rPr>
              <w:t xml:space="preserve">1(be PVM) </w:t>
            </w:r>
            <w:r w:rsidRPr="00B51FF7">
              <w:rPr>
                <w:b/>
                <w:bCs/>
              </w:rPr>
              <w:t xml:space="preserve">– </w:t>
            </w:r>
            <w:r w:rsidR="00243A60" w:rsidRPr="00B51FF7">
              <w:rPr>
                <w:b/>
                <w:bCs/>
              </w:rPr>
              <w:t>947,80</w:t>
            </w:r>
            <w:r w:rsidRPr="00B51FF7">
              <w:rPr>
                <w:b/>
                <w:bCs/>
              </w:rPr>
              <w:t xml:space="preserve"> Eur</w:t>
            </w:r>
            <w:r w:rsidR="00B51FF7" w:rsidRPr="00B51FF7">
              <w:rPr>
                <w:b/>
                <w:bCs/>
              </w:rPr>
              <w:t>; FĮ</w:t>
            </w:r>
            <w:r w:rsidR="00B51FF7" w:rsidRPr="00B51FF7">
              <w:rPr>
                <w:b/>
                <w:bCs/>
                <w:vertAlign w:val="subscript"/>
              </w:rPr>
              <w:t xml:space="preserve">1(su PVM) </w:t>
            </w:r>
            <w:r w:rsidR="00B51FF7" w:rsidRPr="00B51FF7">
              <w:rPr>
                <w:b/>
                <w:bCs/>
              </w:rPr>
              <w:t xml:space="preserve">– 1 146,84 Eur. </w:t>
            </w:r>
          </w:p>
          <w:p w14:paraId="4BE6B6F0" w14:textId="55B3A379" w:rsidR="00AA5833" w:rsidRPr="005F4047" w:rsidRDefault="00243A60" w:rsidP="00A776B0">
            <w:pPr>
              <w:spacing w:line="240" w:lineRule="auto"/>
              <w:jc w:val="both"/>
            </w:pPr>
            <w:r>
              <w:t>F</w:t>
            </w:r>
            <w:r w:rsidRPr="00243A60">
              <w:t xml:space="preserve">iksuotasis vieneto įkainis už </w:t>
            </w:r>
            <w:r w:rsidR="00A06D5A">
              <w:t xml:space="preserve">elektromobilių įkrovimo </w:t>
            </w:r>
            <w:r w:rsidRPr="00243A60">
              <w:t>stotelę su prieiga, kai stotelė įrengta ant žemės ir prieigos galia yra nedidesnė arba lygi 11 kW.</w:t>
            </w:r>
          </w:p>
          <w:p w14:paraId="42A8D71E" w14:textId="52F08B5B" w:rsidR="00B51FF7" w:rsidRDefault="00B51FF7" w:rsidP="00A776B0">
            <w:pPr>
              <w:spacing w:line="240" w:lineRule="auto"/>
              <w:jc w:val="both"/>
            </w:pPr>
            <w:r>
              <w:t>2</w:t>
            </w:r>
            <w:r w:rsidR="00490B06" w:rsidRPr="00B51FF7">
              <w:t xml:space="preserve">. </w:t>
            </w:r>
            <w:r w:rsidR="00AA5833" w:rsidRPr="00B51FF7">
              <w:rPr>
                <w:b/>
                <w:bCs/>
              </w:rPr>
              <w:t>FĮ</w:t>
            </w:r>
            <w:r w:rsidR="00AA5833" w:rsidRPr="00B51FF7">
              <w:rPr>
                <w:b/>
                <w:bCs/>
                <w:vertAlign w:val="subscript"/>
              </w:rPr>
              <w:t xml:space="preserve">2(be PVM)  </w:t>
            </w:r>
            <w:r w:rsidR="00AA5833" w:rsidRPr="00B51FF7">
              <w:rPr>
                <w:b/>
                <w:bCs/>
              </w:rPr>
              <w:t xml:space="preserve">– </w:t>
            </w:r>
            <w:r w:rsidR="00243A60" w:rsidRPr="00B51FF7">
              <w:rPr>
                <w:b/>
                <w:bCs/>
              </w:rPr>
              <w:t>831,37</w:t>
            </w:r>
            <w:r w:rsidR="00490B06" w:rsidRPr="00B51FF7">
              <w:rPr>
                <w:b/>
                <w:bCs/>
              </w:rPr>
              <w:t xml:space="preserve"> Eur</w:t>
            </w:r>
            <w:r w:rsidRPr="00B51FF7">
              <w:rPr>
                <w:b/>
                <w:bCs/>
              </w:rPr>
              <w:t>;</w:t>
            </w:r>
            <w:r w:rsidR="00490B06" w:rsidRPr="00B51FF7">
              <w:rPr>
                <w:b/>
                <w:bCs/>
              </w:rPr>
              <w:t xml:space="preserve"> </w:t>
            </w:r>
            <w:r w:rsidRPr="00B51FF7">
              <w:rPr>
                <w:b/>
                <w:bCs/>
              </w:rPr>
              <w:t>FĮ</w:t>
            </w:r>
            <w:r w:rsidRPr="00B51FF7">
              <w:rPr>
                <w:b/>
                <w:bCs/>
                <w:vertAlign w:val="subscript"/>
              </w:rPr>
              <w:t>2(su PVM)</w:t>
            </w:r>
            <w:r w:rsidRPr="00B51FF7">
              <w:rPr>
                <w:b/>
                <w:bCs/>
              </w:rPr>
              <w:t xml:space="preserve"> – 1 005,95 Eur.</w:t>
            </w:r>
          </w:p>
          <w:p w14:paraId="6D04F94A" w14:textId="679340BB" w:rsidR="00AA5833" w:rsidRPr="005F4047" w:rsidRDefault="00243A60" w:rsidP="00A776B0">
            <w:pPr>
              <w:spacing w:line="240" w:lineRule="auto"/>
              <w:jc w:val="both"/>
            </w:pPr>
            <w:r>
              <w:t>F</w:t>
            </w:r>
            <w:r w:rsidRPr="00243A60">
              <w:t xml:space="preserve">iksuotasis vieneto įkainis už </w:t>
            </w:r>
            <w:r w:rsidR="00A06D5A">
              <w:t xml:space="preserve">elektromobilių įkrovimo </w:t>
            </w:r>
            <w:r w:rsidR="00A06D5A" w:rsidRPr="00243A60">
              <w:t xml:space="preserve">stotelę </w:t>
            </w:r>
            <w:r w:rsidRPr="00243A60">
              <w:t xml:space="preserve">su prieiga, kai stotelė įrengta ant sienos arba </w:t>
            </w:r>
            <w:r w:rsidRPr="00243A60">
              <w:lastRenderedPageBreak/>
              <w:t>gatvių apšvietimo infrastruktūroje ir prieigos galia yra nedidesnė arba lygi 11 kW.</w:t>
            </w:r>
          </w:p>
          <w:p w14:paraId="2C6A363C" w14:textId="4632671F" w:rsidR="00B51FF7" w:rsidRDefault="00B51FF7" w:rsidP="00A776B0">
            <w:pPr>
              <w:spacing w:line="240" w:lineRule="auto"/>
              <w:jc w:val="both"/>
              <w:rPr>
                <w:b/>
                <w:bCs/>
              </w:rPr>
            </w:pPr>
            <w:r>
              <w:t>3.</w:t>
            </w:r>
            <w:r w:rsidR="00C9405F" w:rsidRPr="005F4047">
              <w:t xml:space="preserve"> </w:t>
            </w:r>
            <w:r w:rsidR="00C15EC0" w:rsidRPr="005F4047">
              <w:rPr>
                <w:b/>
                <w:bCs/>
              </w:rPr>
              <w:t>FĮ</w:t>
            </w:r>
            <w:r w:rsidR="00C15EC0">
              <w:rPr>
                <w:b/>
                <w:bCs/>
                <w:vertAlign w:val="subscript"/>
              </w:rPr>
              <w:t>3</w:t>
            </w:r>
            <w:r w:rsidR="00C15EC0" w:rsidRPr="005F4047">
              <w:rPr>
                <w:b/>
                <w:bCs/>
                <w:vertAlign w:val="subscript"/>
              </w:rPr>
              <w:t>(be PVM)</w:t>
            </w:r>
            <w:r w:rsidR="005F506F">
              <w:rPr>
                <w:b/>
                <w:bCs/>
                <w:vertAlign w:val="subscript"/>
              </w:rPr>
              <w:t xml:space="preserve"> </w:t>
            </w:r>
            <w:r w:rsidR="00C15EC0" w:rsidRPr="005F4047">
              <w:rPr>
                <w:b/>
                <w:bCs/>
                <w:vertAlign w:val="subscript"/>
              </w:rPr>
              <w:t xml:space="preserve"> </w:t>
            </w:r>
            <w:r w:rsidR="00C15EC0" w:rsidRPr="005F4047">
              <w:rPr>
                <w:b/>
                <w:bCs/>
              </w:rPr>
              <w:t xml:space="preserve">– </w:t>
            </w:r>
            <w:r w:rsidR="00437430">
              <w:rPr>
                <w:b/>
                <w:bCs/>
              </w:rPr>
              <w:t>1 598,33</w:t>
            </w:r>
            <w:r w:rsidR="00C15EC0" w:rsidRPr="005F4047">
              <w:rPr>
                <w:b/>
                <w:bCs/>
              </w:rPr>
              <w:t xml:space="preserve"> Eur</w:t>
            </w:r>
            <w:r>
              <w:rPr>
                <w:b/>
                <w:bCs/>
              </w:rPr>
              <w:t>;</w:t>
            </w:r>
            <w:r w:rsidR="00C15EC0">
              <w:rPr>
                <w:b/>
                <w:bCs/>
              </w:rPr>
              <w:t xml:space="preserve"> </w:t>
            </w:r>
            <w:r w:rsidRPr="005F4047">
              <w:rPr>
                <w:b/>
                <w:bCs/>
              </w:rPr>
              <w:t>FĮ</w:t>
            </w:r>
            <w:r>
              <w:rPr>
                <w:b/>
                <w:bCs/>
                <w:vertAlign w:val="subscript"/>
              </w:rPr>
              <w:t>3</w:t>
            </w:r>
            <w:r w:rsidRPr="005F4047">
              <w:rPr>
                <w:b/>
                <w:bCs/>
                <w:vertAlign w:val="subscript"/>
              </w:rPr>
              <w:t xml:space="preserve">(su PVM) </w:t>
            </w:r>
            <w:r w:rsidRPr="005F4047">
              <w:rPr>
                <w:b/>
                <w:bCs/>
              </w:rPr>
              <w:t>– 1</w:t>
            </w:r>
            <w:r>
              <w:rPr>
                <w:b/>
                <w:bCs/>
              </w:rPr>
              <w:t> 933,98 Eur.</w:t>
            </w:r>
          </w:p>
          <w:p w14:paraId="15E07765" w14:textId="1C8458C4" w:rsidR="00C15EC0" w:rsidRDefault="00437430" w:rsidP="00A776B0">
            <w:pPr>
              <w:spacing w:line="240" w:lineRule="auto"/>
              <w:jc w:val="both"/>
            </w:pPr>
            <w:r w:rsidRPr="00437430">
              <w:t xml:space="preserve">Fiksuotasis vieneto įkainis už </w:t>
            </w:r>
            <w:r w:rsidR="00A06D5A">
              <w:t xml:space="preserve">elektromobilių įkrovimo </w:t>
            </w:r>
            <w:r w:rsidR="00845D60" w:rsidRPr="00243A60">
              <w:t>stotel</w:t>
            </w:r>
            <w:r w:rsidR="00845D60">
              <w:t xml:space="preserve">ę su </w:t>
            </w:r>
            <w:r w:rsidRPr="00437430">
              <w:t>prieig</w:t>
            </w:r>
            <w:r w:rsidR="00845D60">
              <w:t>a,</w:t>
            </w:r>
            <w:r w:rsidRPr="00437430">
              <w:t xml:space="preserve"> kai stotelė įrengta ant žemės ir stotelės suminė prieigų galia yra didesnė už 11 kW, bet nedidesnė arba lyg</w:t>
            </w:r>
            <w:r w:rsidR="00D764C6">
              <w:t>i</w:t>
            </w:r>
            <w:r w:rsidRPr="00437430">
              <w:t xml:space="preserve"> 22 kW</w:t>
            </w:r>
            <w:r w:rsidR="00C15EC0">
              <w:t>*.</w:t>
            </w:r>
          </w:p>
          <w:p w14:paraId="2539CEDB" w14:textId="4D2A64CD" w:rsidR="00E86C8E" w:rsidRDefault="00EC0D4C" w:rsidP="00A776B0">
            <w:pPr>
              <w:spacing w:line="240" w:lineRule="auto"/>
              <w:jc w:val="both"/>
            </w:pPr>
            <w:r>
              <w:t>4</w:t>
            </w:r>
            <w:r w:rsidR="00C15EC0" w:rsidRPr="00C15EC0">
              <w:t>.</w:t>
            </w:r>
            <w:r w:rsidR="00C15EC0">
              <w:rPr>
                <w:b/>
                <w:bCs/>
              </w:rPr>
              <w:t xml:space="preserve"> </w:t>
            </w:r>
            <w:r w:rsidR="00E86C8E" w:rsidRPr="005F4047">
              <w:rPr>
                <w:b/>
                <w:bCs/>
              </w:rPr>
              <w:t>FĮ</w:t>
            </w:r>
            <w:r w:rsidR="00E86C8E">
              <w:rPr>
                <w:b/>
                <w:bCs/>
                <w:vertAlign w:val="subscript"/>
              </w:rPr>
              <w:t>4</w:t>
            </w:r>
            <w:r w:rsidR="00E86C8E" w:rsidRPr="005F4047">
              <w:rPr>
                <w:b/>
                <w:bCs/>
                <w:vertAlign w:val="subscript"/>
              </w:rPr>
              <w:t xml:space="preserve">(be PVM) </w:t>
            </w:r>
            <w:r w:rsidR="00E86C8E" w:rsidRPr="005F4047">
              <w:rPr>
                <w:b/>
                <w:bCs/>
              </w:rPr>
              <w:t>–1</w:t>
            </w:r>
            <w:r w:rsidR="00E86C8E">
              <w:rPr>
                <w:b/>
                <w:bCs/>
              </w:rPr>
              <w:t> 118,98</w:t>
            </w:r>
            <w:r w:rsidR="00E86C8E" w:rsidRPr="005F4047">
              <w:rPr>
                <w:b/>
                <w:bCs/>
              </w:rPr>
              <w:t xml:space="preserve"> Eur</w:t>
            </w:r>
            <w:r w:rsidR="00E86C8E">
              <w:rPr>
                <w:b/>
                <w:bCs/>
              </w:rPr>
              <w:t>;</w:t>
            </w:r>
            <w:r w:rsidR="00E86C8E" w:rsidRPr="005F4047">
              <w:t xml:space="preserve"> </w:t>
            </w:r>
            <w:r w:rsidR="00E86C8E" w:rsidRPr="005F4047">
              <w:rPr>
                <w:b/>
                <w:bCs/>
              </w:rPr>
              <w:t>FĮ</w:t>
            </w:r>
            <w:r w:rsidR="00E86C8E">
              <w:rPr>
                <w:b/>
                <w:bCs/>
                <w:vertAlign w:val="subscript"/>
              </w:rPr>
              <w:t>4</w:t>
            </w:r>
            <w:r w:rsidR="00E86C8E" w:rsidRPr="005F4047">
              <w:rPr>
                <w:b/>
                <w:bCs/>
                <w:vertAlign w:val="subscript"/>
              </w:rPr>
              <w:t>(</w:t>
            </w:r>
            <w:r w:rsidR="00711226">
              <w:rPr>
                <w:b/>
                <w:bCs/>
                <w:vertAlign w:val="subscript"/>
              </w:rPr>
              <w:t>su</w:t>
            </w:r>
            <w:r w:rsidR="00711226" w:rsidRPr="005F4047">
              <w:rPr>
                <w:b/>
                <w:bCs/>
                <w:vertAlign w:val="subscript"/>
              </w:rPr>
              <w:t xml:space="preserve"> </w:t>
            </w:r>
            <w:r w:rsidR="00E86C8E" w:rsidRPr="005F4047">
              <w:rPr>
                <w:b/>
                <w:bCs/>
                <w:vertAlign w:val="subscript"/>
              </w:rPr>
              <w:t xml:space="preserve">PVM) </w:t>
            </w:r>
            <w:r w:rsidR="00E86C8E" w:rsidRPr="005F4047">
              <w:rPr>
                <w:b/>
                <w:bCs/>
              </w:rPr>
              <w:t>–1</w:t>
            </w:r>
            <w:r w:rsidR="00E86C8E">
              <w:rPr>
                <w:b/>
                <w:bCs/>
              </w:rPr>
              <w:t> 353,96</w:t>
            </w:r>
            <w:r w:rsidR="00E86C8E" w:rsidRPr="005F4047">
              <w:rPr>
                <w:b/>
                <w:bCs/>
              </w:rPr>
              <w:t xml:space="preserve"> Eur</w:t>
            </w:r>
            <w:r w:rsidR="00E86C8E" w:rsidRPr="005F4047">
              <w:t xml:space="preserve">. </w:t>
            </w:r>
          </w:p>
          <w:p w14:paraId="7A07559B" w14:textId="1C4E1924" w:rsidR="00C15EC0" w:rsidRDefault="00E86C8E" w:rsidP="00A776B0">
            <w:pPr>
              <w:spacing w:line="240" w:lineRule="auto"/>
              <w:jc w:val="both"/>
            </w:pPr>
            <w:r>
              <w:t>F</w:t>
            </w:r>
            <w:r w:rsidRPr="00E86C8E">
              <w:t xml:space="preserve">iksuotasis vieneto įkainis už </w:t>
            </w:r>
            <w:r w:rsidR="00A06D5A">
              <w:t xml:space="preserve">elektromobilių įkrovimo </w:t>
            </w:r>
            <w:r w:rsidR="00845D60" w:rsidRPr="00243A60">
              <w:t>stotel</w:t>
            </w:r>
            <w:r w:rsidR="00845D60">
              <w:t>ę su</w:t>
            </w:r>
            <w:r w:rsidR="00845D60" w:rsidRPr="00E86C8E">
              <w:t xml:space="preserve"> </w:t>
            </w:r>
            <w:r w:rsidRPr="00E86C8E">
              <w:t>prieig</w:t>
            </w:r>
            <w:r w:rsidR="00845D60">
              <w:t>a</w:t>
            </w:r>
            <w:r w:rsidRPr="00E86C8E">
              <w:t>, kai stotelė įrengta ant sienos ir stotelės suminė prieigų galia yra didesnė už 11 kW, bet nedidesnė arba lyg</w:t>
            </w:r>
            <w:r w:rsidR="00D764C6">
              <w:t>i</w:t>
            </w:r>
            <w:r w:rsidRPr="00E86C8E">
              <w:t xml:space="preserve"> 22 kW</w:t>
            </w:r>
            <w:r w:rsidR="00C15EC0">
              <w:t>*.</w:t>
            </w:r>
          </w:p>
          <w:p w14:paraId="6763D176" w14:textId="49224266" w:rsidR="00E86C8E" w:rsidRDefault="00E86C8E" w:rsidP="00633222">
            <w:pPr>
              <w:spacing w:line="240" w:lineRule="auto"/>
              <w:jc w:val="both"/>
              <w:rPr>
                <w:b/>
                <w:bCs/>
              </w:rPr>
            </w:pPr>
            <w:r>
              <w:t>5</w:t>
            </w:r>
            <w:r w:rsidR="00C15EC0" w:rsidRPr="005F0953">
              <w:t>.</w:t>
            </w:r>
            <w:r w:rsidR="00C15EC0">
              <w:rPr>
                <w:b/>
                <w:bCs/>
              </w:rPr>
              <w:t xml:space="preserve"> </w:t>
            </w:r>
            <w:r w:rsidRPr="005F4047">
              <w:rPr>
                <w:b/>
                <w:bCs/>
              </w:rPr>
              <w:t>FĮ</w:t>
            </w:r>
            <w:r>
              <w:rPr>
                <w:b/>
                <w:bCs/>
                <w:vertAlign w:val="subscript"/>
              </w:rPr>
              <w:t>5</w:t>
            </w:r>
            <w:r w:rsidRPr="005F4047">
              <w:rPr>
                <w:b/>
                <w:bCs/>
                <w:vertAlign w:val="subscript"/>
              </w:rPr>
              <w:t xml:space="preserve">(be PVM) </w:t>
            </w:r>
            <w:r w:rsidRPr="005F4047">
              <w:rPr>
                <w:b/>
                <w:bCs/>
              </w:rPr>
              <w:t>–</w:t>
            </w:r>
            <w:r>
              <w:rPr>
                <w:b/>
                <w:bCs/>
              </w:rPr>
              <w:t xml:space="preserve"> 503,30 Eur;</w:t>
            </w:r>
            <w:r w:rsidRPr="005F4047">
              <w:rPr>
                <w:b/>
                <w:bCs/>
              </w:rPr>
              <w:t xml:space="preserve"> FĮ</w:t>
            </w:r>
            <w:r>
              <w:rPr>
                <w:b/>
                <w:bCs/>
                <w:vertAlign w:val="subscript"/>
              </w:rPr>
              <w:t>5</w:t>
            </w:r>
            <w:r w:rsidRPr="005F4047">
              <w:rPr>
                <w:b/>
                <w:bCs/>
                <w:vertAlign w:val="subscript"/>
              </w:rPr>
              <w:t>(</w:t>
            </w:r>
            <w:r>
              <w:rPr>
                <w:b/>
                <w:bCs/>
                <w:vertAlign w:val="subscript"/>
              </w:rPr>
              <w:t>su</w:t>
            </w:r>
            <w:r w:rsidRPr="005F4047">
              <w:rPr>
                <w:b/>
                <w:bCs/>
                <w:vertAlign w:val="subscript"/>
              </w:rPr>
              <w:t xml:space="preserve"> PVM)</w:t>
            </w:r>
            <w:r w:rsidR="007D4F7F">
              <w:rPr>
                <w:b/>
                <w:bCs/>
                <w:vertAlign w:val="subscript"/>
              </w:rPr>
              <w:t xml:space="preserve"> </w:t>
            </w:r>
            <w:r w:rsidR="007D4F7F" w:rsidRPr="005F4047">
              <w:rPr>
                <w:b/>
                <w:bCs/>
              </w:rPr>
              <w:t>–</w:t>
            </w:r>
            <w:r w:rsidRPr="005F4047">
              <w:rPr>
                <w:b/>
                <w:bCs/>
                <w:vertAlign w:val="subscript"/>
              </w:rPr>
              <w:t xml:space="preserve"> </w:t>
            </w:r>
            <w:r>
              <w:rPr>
                <w:b/>
                <w:bCs/>
              </w:rPr>
              <w:t>608,99 Eur.</w:t>
            </w:r>
          </w:p>
          <w:p w14:paraId="74753B87" w14:textId="4F319430" w:rsidR="00E86C8E" w:rsidRDefault="00E86C8E" w:rsidP="00633222">
            <w:pPr>
              <w:spacing w:line="240" w:lineRule="auto"/>
              <w:jc w:val="both"/>
            </w:pPr>
            <w:r>
              <w:t>F</w:t>
            </w:r>
            <w:r w:rsidRPr="00E86C8E">
              <w:t>iksuotasis vieneto įkainis už elektromobilių įkrovimo stotelės</w:t>
            </w:r>
            <w:r w:rsidR="00845D60">
              <w:t xml:space="preserve"> su prieiga</w:t>
            </w:r>
            <w:r w:rsidRPr="00E86C8E">
              <w:t xml:space="preserve"> montavimo darbus**</w:t>
            </w:r>
            <w:r w:rsidR="00B04BF6">
              <w:t>.</w:t>
            </w:r>
          </w:p>
          <w:p w14:paraId="259C90A5" w14:textId="509842D2" w:rsidR="00E86C8E" w:rsidRDefault="00E86C8E" w:rsidP="00633222">
            <w:pPr>
              <w:spacing w:line="240" w:lineRule="auto"/>
              <w:jc w:val="both"/>
            </w:pPr>
            <w:r>
              <w:t xml:space="preserve">6. </w:t>
            </w:r>
            <w:r w:rsidRPr="005F4047">
              <w:rPr>
                <w:b/>
                <w:bCs/>
              </w:rPr>
              <w:t>FĮ</w:t>
            </w:r>
            <w:r>
              <w:rPr>
                <w:b/>
                <w:bCs/>
                <w:vertAlign w:val="subscript"/>
              </w:rPr>
              <w:t>6</w:t>
            </w:r>
            <w:r w:rsidRPr="005F4047">
              <w:rPr>
                <w:b/>
                <w:bCs/>
                <w:vertAlign w:val="subscript"/>
              </w:rPr>
              <w:t xml:space="preserve">(be PVM)  </w:t>
            </w:r>
            <w:r w:rsidRPr="005F4047">
              <w:rPr>
                <w:b/>
                <w:bCs/>
              </w:rPr>
              <w:t>–</w:t>
            </w:r>
            <w:r w:rsidR="00167536">
              <w:rPr>
                <w:b/>
                <w:bCs/>
              </w:rPr>
              <w:t>746,20</w:t>
            </w:r>
            <w:r w:rsidRPr="005F4047">
              <w:rPr>
                <w:b/>
                <w:bCs/>
              </w:rPr>
              <w:t xml:space="preserve"> Eur</w:t>
            </w:r>
            <w:r>
              <w:rPr>
                <w:b/>
                <w:bCs/>
              </w:rPr>
              <w:t>;</w:t>
            </w:r>
            <w:r w:rsidRPr="005F4047">
              <w:t xml:space="preserve"> </w:t>
            </w:r>
            <w:r w:rsidRPr="005F4047">
              <w:rPr>
                <w:b/>
                <w:bCs/>
              </w:rPr>
              <w:t>FĮ</w:t>
            </w:r>
            <w:r>
              <w:rPr>
                <w:b/>
                <w:bCs/>
                <w:vertAlign w:val="subscript"/>
              </w:rPr>
              <w:t>6</w:t>
            </w:r>
            <w:r w:rsidRPr="005F4047">
              <w:rPr>
                <w:b/>
                <w:bCs/>
                <w:vertAlign w:val="subscript"/>
              </w:rPr>
              <w:t xml:space="preserve">(su PVM) </w:t>
            </w:r>
            <w:r w:rsidRPr="005F4047">
              <w:rPr>
                <w:b/>
                <w:bCs/>
              </w:rPr>
              <w:t>–</w:t>
            </w:r>
            <w:r w:rsidR="00167536">
              <w:rPr>
                <w:b/>
                <w:bCs/>
              </w:rPr>
              <w:t>902,90</w:t>
            </w:r>
            <w:r w:rsidRPr="005F4047">
              <w:rPr>
                <w:b/>
                <w:bCs/>
              </w:rPr>
              <w:t xml:space="preserve"> Eur.</w:t>
            </w:r>
            <w:r w:rsidRPr="005F4047">
              <w:t xml:space="preserve"> </w:t>
            </w:r>
          </w:p>
          <w:p w14:paraId="73D06CB9" w14:textId="4541BFA5" w:rsidR="00167536" w:rsidRDefault="00B04BF6" w:rsidP="00380B39">
            <w:pPr>
              <w:spacing w:line="240" w:lineRule="auto"/>
              <w:jc w:val="both"/>
            </w:pPr>
            <w:r>
              <w:t>F</w:t>
            </w:r>
            <w:r w:rsidRPr="00B04BF6">
              <w:t>iksuotasis vieneto įkainis už</w:t>
            </w:r>
            <w:r w:rsidR="00270937" w:rsidRPr="00E86C8E">
              <w:t xml:space="preserve"> elektromobilių įkrovimo stotelės</w:t>
            </w:r>
            <w:r w:rsidR="00270937">
              <w:t xml:space="preserve"> su prieiga</w:t>
            </w:r>
            <w:r w:rsidR="00270937" w:rsidRPr="00E86C8E">
              <w:t xml:space="preserve"> montavimo darbus</w:t>
            </w:r>
            <w:r w:rsidR="00270937">
              <w:t xml:space="preserve"> ir </w:t>
            </w:r>
            <w:r w:rsidR="00B867D5">
              <w:t xml:space="preserve">elektromobilių </w:t>
            </w:r>
            <w:r w:rsidRPr="00B04BF6">
              <w:t>įkrovimo stotelės papildomus būtinuosius priedus dinaminės galios funkcijai veikti *</w:t>
            </w:r>
            <w:r>
              <w:t>*.</w:t>
            </w:r>
          </w:p>
          <w:p w14:paraId="729EDE14" w14:textId="2724A30F" w:rsidR="00B04BF6" w:rsidRPr="001C6F77" w:rsidRDefault="000A4071" w:rsidP="00380B39">
            <w:pPr>
              <w:spacing w:line="240" w:lineRule="auto"/>
              <w:jc w:val="both"/>
            </w:pPr>
            <w:r>
              <w:t>* Fiksuotųjų vieneto įkainių vienetų skaičius yra lygus įkrovimo prieigų skaičiui</w:t>
            </w:r>
            <w:r w:rsidR="00403B16">
              <w:t>, t</w:t>
            </w:r>
            <w:r w:rsidR="00403B16" w:rsidRPr="00403B16">
              <w:t>.y., nustatytas fiksuotasis vieneto įkainis yra dauginamas iš prieigų skaičiaus.</w:t>
            </w:r>
          </w:p>
          <w:p w14:paraId="68C4BD6E" w14:textId="77777777" w:rsidR="003E2292" w:rsidRDefault="00380B39" w:rsidP="00A776B0">
            <w:pPr>
              <w:spacing w:line="240" w:lineRule="auto"/>
              <w:jc w:val="both"/>
            </w:pPr>
            <w:r>
              <w:t>** Fiksuotasis vieneto įkainis turi būti taikomas kartu su</w:t>
            </w:r>
            <w:r w:rsidR="008C0CE8">
              <w:t xml:space="preserve"> jį atitinkančiu</w:t>
            </w:r>
            <w:r>
              <w:t xml:space="preserve"> elektromobilių įkrovimo stotelės su prieiga fiksuotuoju vieneto įkainiu</w:t>
            </w:r>
            <w:r w:rsidR="00270937">
              <w:t xml:space="preserve"> (FĮ</w:t>
            </w:r>
            <w:r w:rsidR="00270937">
              <w:rPr>
                <w:vertAlign w:val="subscript"/>
              </w:rPr>
              <w:t>1</w:t>
            </w:r>
            <w:r w:rsidR="00270937">
              <w:t>, FĮ</w:t>
            </w:r>
            <w:r w:rsidR="00270937">
              <w:rPr>
                <w:vertAlign w:val="subscript"/>
              </w:rPr>
              <w:t>2</w:t>
            </w:r>
            <w:r w:rsidR="00270937">
              <w:t>, FĮ</w:t>
            </w:r>
            <w:r w:rsidR="00270937">
              <w:rPr>
                <w:vertAlign w:val="subscript"/>
              </w:rPr>
              <w:t xml:space="preserve">3 </w:t>
            </w:r>
            <w:r w:rsidR="00270937">
              <w:t>arba FĮ</w:t>
            </w:r>
            <w:r w:rsidR="00270937">
              <w:rPr>
                <w:vertAlign w:val="subscript"/>
              </w:rPr>
              <w:t>4</w:t>
            </w:r>
            <w:r w:rsidR="00270937">
              <w:t>)</w:t>
            </w:r>
            <w:r>
              <w:t>.</w:t>
            </w:r>
            <w:r w:rsidR="00B73A07">
              <w:t xml:space="preserve"> Deklaruojant vienos stotelės su prieiga įrengimą, FĮ</w:t>
            </w:r>
            <w:r w:rsidR="00B73A07">
              <w:rPr>
                <w:vertAlign w:val="subscript"/>
              </w:rPr>
              <w:t xml:space="preserve">5 </w:t>
            </w:r>
            <w:r w:rsidR="00B73A07" w:rsidRPr="00B73A07">
              <w:t>ir</w:t>
            </w:r>
            <w:r w:rsidR="00B73A07">
              <w:t xml:space="preserve"> FĮ</w:t>
            </w:r>
            <w:r w:rsidR="00B73A07">
              <w:rPr>
                <w:vertAlign w:val="subscript"/>
              </w:rPr>
              <w:t xml:space="preserve">6 </w:t>
            </w:r>
            <w:r w:rsidR="00B73A07" w:rsidRPr="00B73A07">
              <w:t xml:space="preserve">negali </w:t>
            </w:r>
            <w:r w:rsidR="00B73A07">
              <w:t xml:space="preserve">būti taikomi kartu. </w:t>
            </w:r>
          </w:p>
          <w:p w14:paraId="0395E58F" w14:textId="2A8F2AA6" w:rsidR="001C5C38" w:rsidRPr="007208F8" w:rsidRDefault="001C5C38" w:rsidP="00A776B0">
            <w:pPr>
              <w:spacing w:line="240" w:lineRule="auto"/>
              <w:jc w:val="both"/>
            </w:pPr>
            <w:bookmarkStart w:id="28" w:name="_Hlk140061061"/>
            <w:r w:rsidRPr="007208F8">
              <w:t>Nustatyti fiksuotieji vieneto įkainiai (FĮ</w:t>
            </w:r>
            <w:r w:rsidRPr="007208F8">
              <w:rPr>
                <w:vertAlign w:val="subscript"/>
              </w:rPr>
              <w:t>1</w:t>
            </w:r>
            <w:r w:rsidRPr="007208F8">
              <w:t>, FĮ</w:t>
            </w:r>
            <w:r w:rsidRPr="007208F8">
              <w:rPr>
                <w:vertAlign w:val="subscript"/>
              </w:rPr>
              <w:t>2</w:t>
            </w:r>
            <w:r w:rsidRPr="007208F8">
              <w:t>, FĮ</w:t>
            </w:r>
            <w:r w:rsidRPr="007208F8">
              <w:rPr>
                <w:vertAlign w:val="subscript"/>
              </w:rPr>
              <w:t>3</w:t>
            </w:r>
            <w:r w:rsidRPr="007208F8">
              <w:t>, FĮ</w:t>
            </w:r>
            <w:r w:rsidRPr="007208F8">
              <w:rPr>
                <w:vertAlign w:val="subscript"/>
              </w:rPr>
              <w:t>4</w:t>
            </w:r>
            <w:r w:rsidRPr="007208F8">
              <w:t>, FĮ</w:t>
            </w:r>
            <w:r w:rsidRPr="007208F8">
              <w:rPr>
                <w:vertAlign w:val="subscript"/>
              </w:rPr>
              <w:t>5</w:t>
            </w:r>
            <w:r w:rsidRPr="007208F8">
              <w:t>, FĮ</w:t>
            </w:r>
            <w:r w:rsidRPr="007208F8">
              <w:rPr>
                <w:vertAlign w:val="subscript"/>
              </w:rPr>
              <w:t>6</w:t>
            </w:r>
            <w:r w:rsidR="00BF169B" w:rsidRPr="007208F8">
              <w:t>)</w:t>
            </w:r>
            <w:r w:rsidRPr="007208F8">
              <w:t xml:space="preserve"> taikomi</w:t>
            </w:r>
            <w:r w:rsidR="00BF169B" w:rsidRPr="007208F8">
              <w:t>, kai jungtinio projekto projekto pareiškėjas yra fizinis asmuo, nuosavybės teise, panaudos ar nuomos pagrindais valdantis nekilnojamojo turto objektą (įskaitant parkavimo vietą arba stovėjimo aikštelės dalį) daugiabučiame name ar daugiabučio namo sklype, kuriame siekia įrengti stotelę su prieiga.</w:t>
            </w:r>
          </w:p>
          <w:p w14:paraId="7E34CC66" w14:textId="1952DF35" w:rsidR="001C5C38" w:rsidRPr="001C5C38" w:rsidRDefault="00BF169B" w:rsidP="00A776B0">
            <w:pPr>
              <w:spacing w:line="240" w:lineRule="auto"/>
              <w:jc w:val="both"/>
            </w:pPr>
            <w:r w:rsidRPr="007208F8">
              <w:t>Taip pat FĮ</w:t>
            </w:r>
            <w:r w:rsidRPr="007208F8">
              <w:rPr>
                <w:vertAlign w:val="subscript"/>
              </w:rPr>
              <w:t>2</w:t>
            </w:r>
            <w:r w:rsidRPr="007208F8">
              <w:t>, FĮ</w:t>
            </w:r>
            <w:r w:rsidRPr="007208F8">
              <w:rPr>
                <w:vertAlign w:val="subscript"/>
              </w:rPr>
              <w:t xml:space="preserve">5 </w:t>
            </w:r>
            <w:r w:rsidRPr="007208F8">
              <w:t>ir FĮ</w:t>
            </w:r>
            <w:r w:rsidRPr="007208F8">
              <w:rPr>
                <w:vertAlign w:val="subscript"/>
              </w:rPr>
              <w:t xml:space="preserve">6 </w:t>
            </w:r>
            <w:r w:rsidRPr="007208F8">
              <w:t>taikomi tais atvejais, kai jungtinio projekto</w:t>
            </w:r>
            <w:r w:rsidR="001C5C38" w:rsidRPr="007208F8">
              <w:t xml:space="preserve"> projekto pareiškėjas yra apšvietimo tinklą valdantis juridinis asmuo, kai įkrovimo prieiga įrengiama </w:t>
            </w:r>
            <w:r w:rsidR="00C178E9" w:rsidRPr="007208F8">
              <w:t>apšvietimo stulpe (atramoje) arba ant paties apšvietimo stulpo (atramos)</w:t>
            </w:r>
            <w:r w:rsidRPr="007208F8">
              <w:t xml:space="preserve">. </w:t>
            </w:r>
            <w:bookmarkEnd w:id="28"/>
          </w:p>
        </w:tc>
      </w:tr>
      <w:tr w:rsidR="00D00F0A" w:rsidRPr="00D62DD8" w14:paraId="19A734DF" w14:textId="77777777" w:rsidTr="224EA48E">
        <w:trPr>
          <w:trHeight w:val="851"/>
        </w:trPr>
        <w:tc>
          <w:tcPr>
            <w:tcW w:w="3417" w:type="dxa"/>
            <w:shd w:val="clear" w:color="auto" w:fill="auto"/>
            <w:noWrap/>
            <w:vAlign w:val="center"/>
          </w:tcPr>
          <w:p w14:paraId="6E0C9DAB" w14:textId="77777777" w:rsidR="00D00F0A" w:rsidRDefault="00D00F0A" w:rsidP="00D00F0A">
            <w:pPr>
              <w:spacing w:before="60" w:after="60" w:line="240" w:lineRule="auto"/>
            </w:pPr>
            <w:r>
              <w:lastRenderedPageBreak/>
              <w:t xml:space="preserve">7. Išlaidų kategorijos, kurioms taikomas vieneto įkainis, </w:t>
            </w:r>
            <w:r>
              <w:lastRenderedPageBreak/>
              <w:t>fiksuotoji suma arba fiksuotoji norma</w:t>
            </w:r>
          </w:p>
        </w:tc>
        <w:tc>
          <w:tcPr>
            <w:tcW w:w="5670" w:type="dxa"/>
            <w:vAlign w:val="center"/>
          </w:tcPr>
          <w:p w14:paraId="2AD27372" w14:textId="4AD8D392" w:rsidR="001C6F77" w:rsidRDefault="006E4377" w:rsidP="00710886">
            <w:pPr>
              <w:spacing w:before="60" w:after="60" w:line="240" w:lineRule="auto"/>
              <w:jc w:val="both"/>
            </w:pPr>
            <w:r>
              <w:lastRenderedPageBreak/>
              <w:t xml:space="preserve">Fiksuotuosius vieneto įkainius </w:t>
            </w:r>
            <w:r w:rsidRPr="005F4047">
              <w:t>(</w:t>
            </w:r>
            <w:r w:rsidRPr="00E05A2F">
              <w:t>FĮ</w:t>
            </w:r>
            <w:r w:rsidRPr="00E05A2F">
              <w:rPr>
                <w:vertAlign w:val="subscript"/>
              </w:rPr>
              <w:t>1</w:t>
            </w:r>
            <w:r>
              <w:t>,</w:t>
            </w:r>
            <w:r w:rsidRPr="00E05A2F">
              <w:rPr>
                <w:vertAlign w:val="subscript"/>
              </w:rPr>
              <w:t xml:space="preserve"> </w:t>
            </w:r>
            <w:r w:rsidRPr="0047527E">
              <w:t>FĮ</w:t>
            </w:r>
            <w:r>
              <w:rPr>
                <w:vertAlign w:val="subscript"/>
              </w:rPr>
              <w:t>2</w:t>
            </w:r>
            <w:r>
              <w:t>,</w:t>
            </w:r>
            <w:r w:rsidRPr="0047527E">
              <w:t>FĮ</w:t>
            </w:r>
            <w:r>
              <w:rPr>
                <w:vertAlign w:val="subscript"/>
              </w:rPr>
              <w:t>3</w:t>
            </w:r>
            <w:r>
              <w:t>,</w:t>
            </w:r>
            <w:r>
              <w:rPr>
                <w:vertAlign w:val="subscript"/>
              </w:rPr>
              <w:t xml:space="preserve"> </w:t>
            </w:r>
            <w:r>
              <w:t>FĮ</w:t>
            </w:r>
            <w:r>
              <w:rPr>
                <w:vertAlign w:val="subscript"/>
              </w:rPr>
              <w:t>4</w:t>
            </w:r>
            <w:r>
              <w:t xml:space="preserve">) sudaro elektromobilių įkrovimo stotelės su prieiga įsigijimo išlaidos. </w:t>
            </w:r>
          </w:p>
          <w:p w14:paraId="52003B44" w14:textId="0A0EF963" w:rsidR="006E4377" w:rsidRDefault="006E4377" w:rsidP="00710886">
            <w:pPr>
              <w:spacing w:before="60" w:after="60" w:line="240" w:lineRule="auto"/>
              <w:jc w:val="both"/>
            </w:pPr>
            <w:r>
              <w:lastRenderedPageBreak/>
              <w:t>Fiksuot</w:t>
            </w:r>
            <w:r w:rsidR="00A90431">
              <w:t>ąjį</w:t>
            </w:r>
            <w:r>
              <w:t xml:space="preserve"> vieneto įkain</w:t>
            </w:r>
            <w:r w:rsidR="00A90431">
              <w:t>į</w:t>
            </w:r>
            <w:r>
              <w:t xml:space="preserve"> (FĮ</w:t>
            </w:r>
            <w:r w:rsidRPr="00DC15CD">
              <w:rPr>
                <w:vertAlign w:val="subscript"/>
              </w:rPr>
              <w:t>5</w:t>
            </w:r>
            <w:r>
              <w:t xml:space="preserve">) sudaro </w:t>
            </w:r>
            <w:r w:rsidR="001C6F77">
              <w:t xml:space="preserve">elektromobilių įkrovimo stotelės </w:t>
            </w:r>
            <w:r>
              <w:t xml:space="preserve">montavimo darbų išlaidos. </w:t>
            </w:r>
          </w:p>
          <w:p w14:paraId="5819E16F" w14:textId="3A201EEB" w:rsidR="006E4377" w:rsidRDefault="006E4377" w:rsidP="00710886">
            <w:pPr>
              <w:spacing w:before="60" w:after="60" w:line="240" w:lineRule="auto"/>
              <w:jc w:val="both"/>
            </w:pPr>
            <w:r>
              <w:t>Fiksuot</w:t>
            </w:r>
            <w:r w:rsidR="00A90431">
              <w:t>ąjį</w:t>
            </w:r>
            <w:r>
              <w:t xml:space="preserve"> vieneto įkain</w:t>
            </w:r>
            <w:r w:rsidR="00A90431">
              <w:t>į</w:t>
            </w:r>
            <w:r>
              <w:t xml:space="preserve"> (FĮ</w:t>
            </w:r>
            <w:r w:rsidRPr="006E4377">
              <w:rPr>
                <w:vertAlign w:val="subscript"/>
              </w:rPr>
              <w:t>6</w:t>
            </w:r>
            <w:r>
              <w:t xml:space="preserve">) sudaro šios išlaidų kategorijos: </w:t>
            </w:r>
          </w:p>
          <w:p w14:paraId="700736A6" w14:textId="7CB92E1E" w:rsidR="006E4377" w:rsidRDefault="006E4377" w:rsidP="00710886">
            <w:pPr>
              <w:spacing w:before="60" w:after="60" w:line="240" w:lineRule="auto"/>
              <w:jc w:val="both"/>
            </w:pPr>
            <w:r>
              <w:t xml:space="preserve">- </w:t>
            </w:r>
            <w:r w:rsidR="001C6F77">
              <w:t xml:space="preserve">išlaidos už </w:t>
            </w:r>
            <w:r w:rsidR="001C6F77" w:rsidRPr="00B04BF6">
              <w:t>papildomus būtinuosius priedus dinaminės galios funkcijai veikti</w:t>
            </w:r>
            <w:r>
              <w:t xml:space="preserve">; </w:t>
            </w:r>
          </w:p>
          <w:p w14:paraId="2ECAE239" w14:textId="54568A42" w:rsidR="006E4377" w:rsidRPr="00BF169B" w:rsidRDefault="006E4377" w:rsidP="00710886">
            <w:pPr>
              <w:spacing w:before="60" w:after="60" w:line="240" w:lineRule="auto"/>
              <w:jc w:val="both"/>
            </w:pPr>
            <w:r>
              <w:t xml:space="preserve">- </w:t>
            </w:r>
            <w:r w:rsidR="001C6F77">
              <w:t xml:space="preserve">elektromobilių įkrovimo stotelės montavimo darbų išlaidos. </w:t>
            </w:r>
          </w:p>
          <w:p w14:paraId="4699E9B2" w14:textId="7CE4F6E0" w:rsidR="00D00F0A" w:rsidRPr="005F4047" w:rsidRDefault="00D00F0A" w:rsidP="00D00F0A">
            <w:pPr>
              <w:spacing w:line="240" w:lineRule="auto"/>
              <w:jc w:val="both"/>
            </w:pPr>
            <w:r w:rsidRPr="007208F8">
              <w:t>Pagal nacionalinius teisės aktus</w:t>
            </w:r>
            <w:r w:rsidR="00A5559C" w:rsidRPr="007208F8">
              <w:t>, reglamentuojančius ES projektų įgyvendinimą,</w:t>
            </w:r>
            <w:r w:rsidRPr="007208F8">
              <w:t xml:space="preserve"> </w:t>
            </w:r>
            <w:r w:rsidR="00017173" w:rsidRPr="007208F8">
              <w:t xml:space="preserve">pridėtinės vertės mokestis (toliau – </w:t>
            </w:r>
            <w:r w:rsidRPr="007208F8">
              <w:t>PVM</w:t>
            </w:r>
            <w:r w:rsidR="00017173" w:rsidRPr="007208F8">
              <w:t>)</w:t>
            </w:r>
            <w:r w:rsidRPr="007208F8">
              <w:t xml:space="preserve"> yra tinkamas finansuoti ūkio subjektams, kurie pagal PVM įstatymą negali PVM susigrąžinti</w:t>
            </w:r>
            <w:r w:rsidR="00A5559C" w:rsidRPr="007208F8">
              <w:t xml:space="preserve"> arba jo nesusigrąžina</w:t>
            </w:r>
            <w:r w:rsidRPr="007208F8">
              <w:t xml:space="preserve">. Įgyvendinant veiklas, projekto vykdytojais bus ūkio subjektai, kurie PVM susigrąžins ir taikys fiksuotuosius vieneto įkainius be PVM, </w:t>
            </w:r>
            <w:r w:rsidR="00A5559C" w:rsidRPr="007208F8">
              <w:t>bei</w:t>
            </w:r>
            <w:r w:rsidRPr="007208F8">
              <w:t>, kurie PVM nesusigrąžins ir taikys fiksuotuosius vieneto įkainius su PVM.</w:t>
            </w:r>
            <w:r w:rsidR="00A5559C" w:rsidRPr="007208F8">
              <w:t xml:space="preserve"> Faktinis PVM tinkamumas finansuoti </w:t>
            </w:r>
            <w:r w:rsidR="00AC234D" w:rsidRPr="007208F8">
              <w:t xml:space="preserve">(iš nacionalinių lėšų) </w:t>
            </w:r>
            <w:r w:rsidR="00017173" w:rsidRPr="007208F8">
              <w:t xml:space="preserve">yra </w:t>
            </w:r>
            <w:r w:rsidR="00A5559C" w:rsidRPr="005F4047">
              <w:t>nurodytas nacionaliniuose teisės aktuose, reglamentuojančiuose ES projektų įgyvendinimą.</w:t>
            </w:r>
          </w:p>
        </w:tc>
      </w:tr>
      <w:tr w:rsidR="00D00F0A" w:rsidRPr="00D62DD8" w14:paraId="0DAEA2BD" w14:textId="77777777" w:rsidTr="224EA48E">
        <w:trPr>
          <w:trHeight w:val="851"/>
        </w:trPr>
        <w:tc>
          <w:tcPr>
            <w:tcW w:w="3417" w:type="dxa"/>
            <w:shd w:val="clear" w:color="auto" w:fill="auto"/>
            <w:noWrap/>
            <w:vAlign w:val="center"/>
          </w:tcPr>
          <w:p w14:paraId="3EA4155F" w14:textId="77777777" w:rsidR="00D00F0A" w:rsidRPr="00D62DD8" w:rsidRDefault="00D00F0A" w:rsidP="00D00F0A">
            <w:pPr>
              <w:spacing w:before="60" w:after="60" w:line="240" w:lineRule="auto"/>
            </w:pPr>
            <w:r>
              <w:lastRenderedPageBreak/>
              <w:t>8. Ar šios išlaidų kategorijos apima visas veiksmo tinkamas finansuoti išlaidas? (T/N)</w:t>
            </w:r>
          </w:p>
        </w:tc>
        <w:tc>
          <w:tcPr>
            <w:tcW w:w="5670" w:type="dxa"/>
            <w:vAlign w:val="center"/>
          </w:tcPr>
          <w:p w14:paraId="5978E323" w14:textId="18820E82" w:rsidR="00D00F0A" w:rsidRPr="00845D60" w:rsidRDefault="00921176" w:rsidP="00845D60">
            <w:pPr>
              <w:spacing w:after="0" w:line="240" w:lineRule="auto"/>
              <w:jc w:val="both"/>
            </w:pPr>
            <w:r>
              <w:rPr>
                <w:iCs/>
                <w:noProof/>
              </w:rPr>
              <w:t xml:space="preserve">N, </w:t>
            </w:r>
            <w:r>
              <w:t xml:space="preserve">įgyvendinant veiklas, gali būti patiriamos </w:t>
            </w:r>
            <w:r w:rsidRPr="00B4490D">
              <w:t>kitos tiesioginė</w:t>
            </w:r>
            <w:r>
              <w:t>s išlaidos</w:t>
            </w:r>
            <w:r w:rsidR="008162D8">
              <w:t xml:space="preserve">, </w:t>
            </w:r>
            <w:r w:rsidR="008D38F3">
              <w:t xml:space="preserve">apmokamos pagal fiksuotuosius </w:t>
            </w:r>
            <w:r w:rsidR="00845D60">
              <w:t>vieneto įkaini</w:t>
            </w:r>
            <w:r w:rsidR="008D38F3">
              <w:t>us</w:t>
            </w:r>
            <w:r w:rsidR="00845D60">
              <w:t xml:space="preserve"> juridiniams asmenims už įrengtas elektromobilių </w:t>
            </w:r>
            <w:r w:rsidR="00845D60" w:rsidRPr="007208F8">
              <w:t>įkrovimo stoteles su prieiga (-omis)</w:t>
            </w:r>
            <w:r w:rsidR="00BF169B" w:rsidRPr="007208F8">
              <w:t xml:space="preserve"> (FĮ-03-05, FĮ-03-06, FĮ-03-07, FĮ-03-08, FĮ-03-09, FĮ-03-10, FĮ-03-11, FĮ-03-12)</w:t>
            </w:r>
            <w:r w:rsidR="00845D60" w:rsidRPr="007208F8">
              <w:t xml:space="preserve">, </w:t>
            </w:r>
            <w:r w:rsidR="00845D60">
              <w:t>nustatyt</w:t>
            </w:r>
            <w:r w:rsidR="008D38F3">
              <w:t>us</w:t>
            </w:r>
            <w:r w:rsidR="00845D60">
              <w:t xml:space="preserve"> 2022 m. vasario 24 d. Elektromobilių įkrovimo prieigų įrengimo išlaidų fiksuotųjų įkainių nustatymo tyrime</w:t>
            </w:r>
            <w:r>
              <w:t xml:space="preserve">, neįtrauktos į fiksuotuosius vieneto įkainius, ir netiesioginės išlaidos. </w:t>
            </w:r>
          </w:p>
        </w:tc>
      </w:tr>
      <w:tr w:rsidR="00D00F0A" w:rsidRPr="00D62DD8" w14:paraId="2B54E4DC" w14:textId="77777777" w:rsidTr="224EA48E">
        <w:trPr>
          <w:trHeight w:val="851"/>
        </w:trPr>
        <w:tc>
          <w:tcPr>
            <w:tcW w:w="3417" w:type="dxa"/>
            <w:shd w:val="clear" w:color="auto" w:fill="auto"/>
            <w:noWrap/>
            <w:vAlign w:val="center"/>
          </w:tcPr>
          <w:p w14:paraId="7FA5EB26" w14:textId="77777777" w:rsidR="00D00F0A" w:rsidRPr="00D62DD8" w:rsidRDefault="00D00F0A" w:rsidP="00D00F0A">
            <w:pPr>
              <w:spacing w:before="60" w:after="60" w:line="240" w:lineRule="auto"/>
            </w:pPr>
            <w:r>
              <w:t>9. Koregavimo (-ų) metodas</w:t>
            </w:r>
            <w:r w:rsidRPr="00D62DD8">
              <w:rPr>
                <w:rStyle w:val="Puslapioinaosnuoroda"/>
              </w:rPr>
              <w:footnoteReference w:id="4"/>
            </w:r>
            <w:r>
              <w:t xml:space="preserve"> </w:t>
            </w:r>
          </w:p>
        </w:tc>
        <w:tc>
          <w:tcPr>
            <w:tcW w:w="5670" w:type="dxa"/>
            <w:vAlign w:val="center"/>
          </w:tcPr>
          <w:p w14:paraId="2E707568" w14:textId="589D4755" w:rsidR="00D00F0A" w:rsidRPr="005F4047" w:rsidRDefault="00D57C89" w:rsidP="00D00F0A">
            <w:pPr>
              <w:spacing w:before="60" w:after="60" w:line="240" w:lineRule="auto"/>
              <w:jc w:val="both"/>
            </w:pPr>
            <w:r>
              <w:t>Netaikoma</w:t>
            </w:r>
          </w:p>
        </w:tc>
      </w:tr>
      <w:tr w:rsidR="00D00F0A" w:rsidRPr="00D62DD8" w14:paraId="3FCB5316" w14:textId="77777777" w:rsidTr="224EA48E">
        <w:trPr>
          <w:trHeight w:val="851"/>
        </w:trPr>
        <w:tc>
          <w:tcPr>
            <w:tcW w:w="3417" w:type="dxa"/>
            <w:shd w:val="clear" w:color="auto" w:fill="auto"/>
            <w:noWrap/>
            <w:vAlign w:val="center"/>
          </w:tcPr>
          <w:p w14:paraId="72DC89BC" w14:textId="77777777" w:rsidR="00D00F0A" w:rsidRPr="00D62DD8" w:rsidRDefault="00D00F0A" w:rsidP="00D00F0A">
            <w:pPr>
              <w:spacing w:before="60" w:after="60" w:line="240" w:lineRule="auto"/>
            </w:pPr>
            <w:r>
              <w:t>10. Vienetų pasiekimo tikrinimas</w:t>
            </w:r>
          </w:p>
          <w:p w14:paraId="119CEBE2" w14:textId="77777777" w:rsidR="00D00F0A" w:rsidRPr="00D62DD8" w:rsidRDefault="00D00F0A" w:rsidP="00D00F0A">
            <w:pPr>
              <w:spacing w:before="60" w:after="60" w:line="240" w:lineRule="auto"/>
            </w:pPr>
            <w:r>
              <w:t>– Aprašykite, kokiu (-iais) dokumentu (-ais) / sistema bus remiamasi tikrinant, ar pateikti vienetai pasiekti</w:t>
            </w:r>
          </w:p>
          <w:p w14:paraId="4C11F6DF" w14:textId="77777777" w:rsidR="00D00F0A" w:rsidRPr="00D62DD8" w:rsidRDefault="00D00F0A" w:rsidP="00D00F0A">
            <w:pPr>
              <w:spacing w:before="60" w:after="60" w:line="240" w:lineRule="auto"/>
            </w:pPr>
            <w:r>
              <w:t>– Aprašykite, kas bus tikrinama valdymo patikrinimų metu ir kas juos atliks</w:t>
            </w:r>
          </w:p>
          <w:p w14:paraId="6838A492" w14:textId="77777777" w:rsidR="00D00F0A" w:rsidRPr="00D62DD8" w:rsidRDefault="00D00F0A" w:rsidP="00D00F0A">
            <w:pPr>
              <w:spacing w:before="60" w:after="60" w:line="240" w:lineRule="auto"/>
            </w:pPr>
            <w:r>
              <w:t xml:space="preserve">– Aprašykite, kokia bus atitinkamų duomenų / dokumentų rinkimo ir saugojimo tvarka </w:t>
            </w:r>
          </w:p>
        </w:tc>
        <w:tc>
          <w:tcPr>
            <w:tcW w:w="5670" w:type="dxa"/>
            <w:vAlign w:val="center"/>
          </w:tcPr>
          <w:p w14:paraId="600E73E4" w14:textId="77777777" w:rsidR="00837036" w:rsidRPr="005F4047" w:rsidRDefault="00837036" w:rsidP="00733668">
            <w:pPr>
              <w:spacing w:before="60" w:after="60" w:line="240" w:lineRule="auto"/>
              <w:jc w:val="both"/>
            </w:pPr>
            <w:r w:rsidRPr="005F4047">
              <w:t xml:space="preserve">Siekiant gauti apmokėjimą pagal fiksuotuosius vieneto įkainius, fiksuotųjų vieneto įkainių rezultatams pagrįsti bus kaupiami šie rezultato pasiekimą pagrindžiantys dokumentai: </w:t>
            </w:r>
          </w:p>
          <w:p w14:paraId="293E97C9" w14:textId="4D43B7CE" w:rsidR="005D12A7" w:rsidRPr="005F4047" w:rsidRDefault="005D12A7" w:rsidP="005D12A7">
            <w:pPr>
              <w:pStyle w:val="Sraopastraipa"/>
              <w:numPr>
                <w:ilvl w:val="0"/>
                <w:numId w:val="9"/>
              </w:numPr>
              <w:spacing w:before="60" w:after="60" w:line="240" w:lineRule="auto"/>
              <w:jc w:val="both"/>
            </w:pPr>
            <w:r w:rsidRPr="005F4047">
              <w:t>elektromobilių įkrovimo prieigos įrengimą pagrindžiančių bei perėmimo nuosavybėn įrodančių dokumentų kopijos (sąskaita faktūra, atliktų darbų aktas ar kiti lygiaverčiai dokumentai)</w:t>
            </w:r>
            <w:r w:rsidR="00DA35AC">
              <w:t xml:space="preserve"> kuriuose nurodyta elektromobilių įkrovimo prieigos perduodama elektrinė galia bei prieigų skaičius</w:t>
            </w:r>
            <w:r w:rsidRPr="005F4047">
              <w:t>;</w:t>
            </w:r>
          </w:p>
          <w:p w14:paraId="6151D5E1" w14:textId="17040E7F" w:rsidR="005D12A7" w:rsidRPr="005F4047" w:rsidRDefault="005D12A7" w:rsidP="005D12A7">
            <w:pPr>
              <w:pStyle w:val="Sraopastraipa"/>
              <w:numPr>
                <w:ilvl w:val="0"/>
                <w:numId w:val="9"/>
              </w:numPr>
              <w:spacing w:before="60" w:after="60" w:line="240" w:lineRule="auto"/>
              <w:jc w:val="both"/>
            </w:pPr>
            <w:r w:rsidRPr="005F4047">
              <w:t xml:space="preserve">elektromobilių įkrovimo prieigos techninė specifikacija, kurioje turi būti nurodyta, kad ji </w:t>
            </w:r>
            <w:r w:rsidRPr="005F4047">
              <w:lastRenderedPageBreak/>
              <w:t>atitinka minimalius techninius reikalavimus (IP-54</w:t>
            </w:r>
            <w:r w:rsidR="00DA35AC">
              <w:t xml:space="preserve"> </w:t>
            </w:r>
            <w:r w:rsidR="00711226">
              <w:t xml:space="preserve">ir / </w:t>
            </w:r>
            <w:r w:rsidR="00DA35AC">
              <w:t>arba</w:t>
            </w:r>
            <w:r w:rsidRPr="005F4047">
              <w:t>, IK-8</w:t>
            </w:r>
            <w:r w:rsidR="00DA35AC">
              <w:t xml:space="preserve"> jei taikoma</w:t>
            </w:r>
            <w:r w:rsidRPr="005F4047">
              <w:t>) ir</w:t>
            </w:r>
            <w:r w:rsidR="00DA35AC">
              <w:t>/arba</w:t>
            </w:r>
            <w:r w:rsidRPr="005F4047">
              <w:t xml:space="preserve"> joje yra dinaminio galios valdymo funkcija. </w:t>
            </w:r>
          </w:p>
          <w:p w14:paraId="4A6ED7EF" w14:textId="77777777" w:rsidR="00921176" w:rsidRPr="00B270BF" w:rsidRDefault="00921176" w:rsidP="00921176">
            <w:pPr>
              <w:spacing w:before="0" w:after="0" w:line="240" w:lineRule="auto"/>
              <w:jc w:val="both"/>
            </w:pPr>
            <w:r w:rsidRPr="00B270BF">
              <w:t>Projekto vykdytojas kartu su mokėjimo prašymu</w:t>
            </w:r>
            <w:r w:rsidRPr="00B270BF">
              <w:rPr>
                <w:rStyle w:val="Puslapioinaosnuoroda"/>
              </w:rPr>
              <w:footnoteReference w:id="5"/>
            </w:r>
            <w:r w:rsidRPr="00B270BF">
              <w:t xml:space="preserve"> administruojančiajai institucijai teiks fiksuotojo vieneto įkainio rezultatą pagrindžiančius dokumentus, kurie kaupiami ir saugomi administruojančiosios institucijos informacinėje sistemoje. Administruojančioji institucija tikrins, ar pasiekti fiksuotojo vieneto įkainio rezultatai. </w:t>
            </w:r>
          </w:p>
          <w:p w14:paraId="7CBED3AB" w14:textId="77777777" w:rsidR="00B75266" w:rsidRPr="005F4047" w:rsidRDefault="00DF68FD" w:rsidP="00C47E62">
            <w:pPr>
              <w:spacing w:before="60" w:after="60" w:line="240" w:lineRule="auto"/>
              <w:jc w:val="both"/>
            </w:pPr>
            <w:r w:rsidRPr="005F4047">
              <w:t>Projektų patikrų ir dokumentų</w:t>
            </w:r>
            <w:r w:rsidR="003B1F6F" w:rsidRPr="005F4047">
              <w:t xml:space="preserve"> rinkimo ir</w:t>
            </w:r>
            <w:r w:rsidRPr="005F4047">
              <w:t xml:space="preserve"> saugojimo tvarka vykdoma, laikantis nacionaliniuose teisės aktuose</w:t>
            </w:r>
            <w:r w:rsidR="00492B47" w:rsidRPr="005F4047">
              <w:rPr>
                <w:rStyle w:val="Puslapioinaosnuoroda"/>
              </w:rPr>
              <w:footnoteReference w:id="6"/>
            </w:r>
            <w:r w:rsidRPr="005F4047">
              <w:t xml:space="preserve">, </w:t>
            </w:r>
            <w:r w:rsidR="00A93BE8" w:rsidRPr="005F4047">
              <w:t>r</w:t>
            </w:r>
            <w:r w:rsidRPr="005F4047">
              <w:t>eglamentuojančiuose ES projektų įgyvendinimą, nustatytų reikalavimų.</w:t>
            </w:r>
          </w:p>
        </w:tc>
      </w:tr>
      <w:tr w:rsidR="00D00F0A" w:rsidRPr="00D62DD8" w14:paraId="5E506FD2" w14:textId="77777777" w:rsidTr="224EA48E">
        <w:trPr>
          <w:trHeight w:val="851"/>
        </w:trPr>
        <w:tc>
          <w:tcPr>
            <w:tcW w:w="3417" w:type="dxa"/>
            <w:shd w:val="clear" w:color="auto" w:fill="auto"/>
            <w:noWrap/>
            <w:vAlign w:val="center"/>
          </w:tcPr>
          <w:p w14:paraId="763F5884" w14:textId="77777777" w:rsidR="00D00F0A" w:rsidRPr="00D62DD8" w:rsidRDefault="00D00F0A" w:rsidP="00D00F0A">
            <w:pPr>
              <w:spacing w:before="60" w:after="60" w:line="240" w:lineRule="auto"/>
            </w:pPr>
            <w:r>
              <w:lastRenderedPageBreak/>
              <w:t>11. Galimos žalingos paskatos, švelninimo priemonės</w:t>
            </w:r>
            <w:r w:rsidRPr="00D62DD8">
              <w:rPr>
                <w:rStyle w:val="Puslapioinaosnuoroda"/>
              </w:rPr>
              <w:footnoteReference w:id="7"/>
            </w:r>
            <w:r>
              <w:t xml:space="preserve"> ir apskaičiuotasis rizikos lygis (didelė / vidutinė / maža)</w:t>
            </w:r>
          </w:p>
        </w:tc>
        <w:tc>
          <w:tcPr>
            <w:tcW w:w="5670" w:type="dxa"/>
            <w:vAlign w:val="center"/>
          </w:tcPr>
          <w:p w14:paraId="20885A59" w14:textId="31B4A8B4" w:rsidR="005E50B1" w:rsidRPr="007208F8" w:rsidRDefault="00BF169B" w:rsidP="00BF169B">
            <w:pPr>
              <w:spacing w:before="60" w:after="60" w:line="240" w:lineRule="auto"/>
              <w:jc w:val="both"/>
            </w:pPr>
            <w:r w:rsidRPr="007208F8">
              <w:t>1.</w:t>
            </w:r>
            <w:r w:rsidR="005E50B1" w:rsidRPr="007208F8">
              <w:t>Gali būti, kad rinkoje atsiras naujų technologinių sprendimų.</w:t>
            </w:r>
          </w:p>
          <w:p w14:paraId="29FEDA4E" w14:textId="1705A0EC" w:rsidR="005E50B1" w:rsidRPr="007208F8" w:rsidRDefault="005E50B1" w:rsidP="005E50B1">
            <w:pPr>
              <w:spacing w:before="60" w:after="60" w:line="240" w:lineRule="auto"/>
              <w:jc w:val="both"/>
              <w:rPr>
                <w:i/>
                <w:iCs/>
              </w:rPr>
            </w:pPr>
            <w:r w:rsidRPr="007208F8">
              <w:rPr>
                <w:i/>
                <w:iCs/>
              </w:rPr>
              <w:t>Rizikos lygis</w:t>
            </w:r>
          </w:p>
          <w:p w14:paraId="3109B13D" w14:textId="77777777" w:rsidR="005E50B1" w:rsidRPr="007208F8" w:rsidRDefault="005E50B1" w:rsidP="005E50B1">
            <w:pPr>
              <w:spacing w:before="60" w:after="60" w:line="240" w:lineRule="auto"/>
              <w:jc w:val="both"/>
            </w:pPr>
            <w:r w:rsidRPr="007208F8">
              <w:t>Vidutinė</w:t>
            </w:r>
          </w:p>
          <w:p w14:paraId="5BE12EE6" w14:textId="18738638" w:rsidR="005E50B1" w:rsidRPr="007208F8" w:rsidRDefault="00D328E9" w:rsidP="005E50B1">
            <w:pPr>
              <w:spacing w:before="60" w:after="60" w:line="240" w:lineRule="auto"/>
              <w:jc w:val="both"/>
              <w:rPr>
                <w:i/>
                <w:iCs/>
              </w:rPr>
            </w:pPr>
            <w:r w:rsidRPr="007208F8">
              <w:rPr>
                <w:i/>
                <w:iCs/>
              </w:rPr>
              <w:t>Galimi sprendimo būdai</w:t>
            </w:r>
          </w:p>
          <w:p w14:paraId="7EA7897E" w14:textId="77777777" w:rsidR="005E50B1" w:rsidRPr="007208F8" w:rsidRDefault="005E50B1" w:rsidP="005E50B1">
            <w:pPr>
              <w:spacing w:before="60" w:after="60" w:line="240" w:lineRule="auto"/>
              <w:jc w:val="both"/>
            </w:pPr>
            <w:r w:rsidRPr="007208F8">
              <w:t>Esant poreikiui atnaujinti/papildyti metodiką, įtraukiant į fiksuotųjų vieneto įkainių apskaičiavimą naujus technologinius sprendimus.</w:t>
            </w:r>
          </w:p>
          <w:p w14:paraId="63E3860A" w14:textId="35FBE0E0" w:rsidR="0015572A" w:rsidRPr="007208F8" w:rsidRDefault="0015572A" w:rsidP="0063281B">
            <w:pPr>
              <w:spacing w:before="60" w:after="60" w:line="240" w:lineRule="auto"/>
              <w:jc w:val="both"/>
            </w:pPr>
            <w:r w:rsidRPr="007208F8">
              <w:t>2.</w:t>
            </w:r>
            <w:r w:rsidR="00D328E9" w:rsidRPr="007208F8">
              <w:t xml:space="preserve">Kyla rizika, kad </w:t>
            </w:r>
            <w:r w:rsidR="00D328E9" w:rsidRPr="00B32AC9">
              <w:t xml:space="preserve">įgyvendinant </w:t>
            </w:r>
            <w:r w:rsidRPr="00B32AC9">
              <w:rPr>
                <w:szCs w:val="24"/>
              </w:rPr>
              <w:t xml:space="preserve">B.1.2.3 papriemonės „Transporto priemonių įkrovimo </w:t>
            </w:r>
            <w:r w:rsidR="007208F8" w:rsidRPr="00B32AC9">
              <w:rPr>
                <w:szCs w:val="24"/>
              </w:rPr>
              <w:t>/ alternatyviųjų degalų</w:t>
            </w:r>
            <w:r w:rsidRPr="00B32AC9">
              <w:rPr>
                <w:szCs w:val="24"/>
              </w:rPr>
              <w:t xml:space="preserve"> pildymo infrastruktūros </w:t>
            </w:r>
            <w:r w:rsidR="007208F8" w:rsidRPr="00B32AC9">
              <w:rPr>
                <w:szCs w:val="24"/>
              </w:rPr>
              <w:t>įrengimas</w:t>
            </w:r>
            <w:r w:rsidRPr="00B32AC9">
              <w:rPr>
                <w:szCs w:val="24"/>
              </w:rPr>
              <w:t>“ veiklas</w:t>
            </w:r>
            <w:r w:rsidR="0063281B" w:rsidRPr="00B32AC9">
              <w:rPr>
                <w:szCs w:val="24"/>
              </w:rPr>
              <w:t>, šiuo tyrimu nustatyti fiksuotieji vieneto įkainiai</w:t>
            </w:r>
            <w:r w:rsidR="0063281B" w:rsidRPr="007208F8">
              <w:rPr>
                <w:szCs w:val="24"/>
              </w:rPr>
              <w:t xml:space="preserve"> bus taikomi ir juridiniams asmenims, kuriems fiksuotieji vieneto įkainiai nustatyti. </w:t>
            </w:r>
            <w:r w:rsidRPr="007208F8">
              <w:rPr>
                <w:szCs w:val="24"/>
              </w:rPr>
              <w:t>2022 m. vasario 24 d. Elektromobilių įkrovimo prieigų įrengimo išlaidų fiksuotųjų įkainių nustatymo tyrime</w:t>
            </w:r>
            <w:r w:rsidR="0063281B" w:rsidRPr="007208F8">
              <w:rPr>
                <w:szCs w:val="24"/>
              </w:rPr>
              <w:t xml:space="preserve">. </w:t>
            </w:r>
          </w:p>
          <w:p w14:paraId="6F76DAE5" w14:textId="77777777" w:rsidR="00D328E9" w:rsidRPr="007208F8" w:rsidRDefault="00D328E9" w:rsidP="00D328E9">
            <w:pPr>
              <w:spacing w:before="60" w:after="60" w:line="240" w:lineRule="auto"/>
              <w:jc w:val="both"/>
              <w:rPr>
                <w:i/>
                <w:iCs/>
              </w:rPr>
            </w:pPr>
            <w:r w:rsidRPr="007208F8">
              <w:rPr>
                <w:i/>
                <w:iCs/>
              </w:rPr>
              <w:t>Rizikos lygis</w:t>
            </w:r>
          </w:p>
          <w:p w14:paraId="5A4D17E7" w14:textId="77777777" w:rsidR="00D328E9" w:rsidRPr="007208F8" w:rsidRDefault="00D328E9" w:rsidP="00D328E9">
            <w:pPr>
              <w:spacing w:before="60" w:after="60" w:line="240" w:lineRule="auto"/>
              <w:jc w:val="both"/>
            </w:pPr>
            <w:r w:rsidRPr="007208F8">
              <w:t>Maža</w:t>
            </w:r>
          </w:p>
          <w:p w14:paraId="3690BAD1" w14:textId="77777777" w:rsidR="00D328E9" w:rsidRPr="007208F8" w:rsidRDefault="00D328E9" w:rsidP="00D328E9">
            <w:pPr>
              <w:spacing w:before="60" w:after="60" w:line="240" w:lineRule="auto"/>
              <w:jc w:val="both"/>
              <w:rPr>
                <w:i/>
                <w:iCs/>
              </w:rPr>
            </w:pPr>
            <w:r w:rsidRPr="007208F8">
              <w:rPr>
                <w:i/>
                <w:iCs/>
              </w:rPr>
              <w:t>Galimi sprendimo būdai</w:t>
            </w:r>
          </w:p>
          <w:p w14:paraId="3358520C" w14:textId="048A1749" w:rsidR="00D328E9" w:rsidRPr="00D328E9" w:rsidRDefault="00D328E9" w:rsidP="00D328E9">
            <w:pPr>
              <w:spacing w:before="60" w:after="60" w:line="240" w:lineRule="auto"/>
              <w:jc w:val="both"/>
            </w:pPr>
            <w:r w:rsidRPr="007208F8">
              <w:t>Įgyvendinant minėtų veiklų projektus</w:t>
            </w:r>
            <w:r w:rsidR="0015572A" w:rsidRPr="007208F8">
              <w:t>,</w:t>
            </w:r>
            <w:r w:rsidRPr="007208F8">
              <w:t xml:space="preserve"> atsakinga ministerija Projektų finansavimo sąlygų apraše aiškiai aprašys, kurioms pareiškėjų grupėms taikomi šiame tyrime nustatyti fiksuotieji vieneto įkainiai ir kurioms pareiškėjų grupėms taikomi fiksuotieji vieneto įkainiai</w:t>
            </w:r>
            <w:r w:rsidR="0063281B" w:rsidRPr="007208F8">
              <w:t>,</w:t>
            </w:r>
            <w:r w:rsidRPr="007208F8">
              <w:t xml:space="preserve"> nustatyti 2022 m. vasario 24 d. Elektromobilių įkrovimo prieigų įrengimo išlaidų fiksuotųjų įkainių nustatymo </w:t>
            </w:r>
            <w:r w:rsidRPr="007208F8">
              <w:lastRenderedPageBreak/>
              <w:t>tyrime</w:t>
            </w:r>
            <w:r w:rsidR="0015572A" w:rsidRPr="007208F8">
              <w:t>, kadangi skirtingi fiksuotieji vieneto įkainiai taikomi atskiroms pareiškėjų grupėms.</w:t>
            </w:r>
          </w:p>
        </w:tc>
      </w:tr>
      <w:tr w:rsidR="00D00F0A" w:rsidRPr="00D62DD8" w14:paraId="52F2B395" w14:textId="77777777" w:rsidTr="224EA48E">
        <w:trPr>
          <w:trHeight w:val="851"/>
        </w:trPr>
        <w:tc>
          <w:tcPr>
            <w:tcW w:w="3417" w:type="dxa"/>
            <w:shd w:val="clear" w:color="auto" w:fill="auto"/>
            <w:noWrap/>
            <w:vAlign w:val="center"/>
          </w:tcPr>
          <w:p w14:paraId="4EDEC6D8" w14:textId="754F204F" w:rsidR="00D00F0A" w:rsidRDefault="00D00F0A" w:rsidP="00D00F0A">
            <w:pPr>
              <w:spacing w:before="60" w:after="60" w:line="240" w:lineRule="auto"/>
            </w:pPr>
            <w:r>
              <w:lastRenderedPageBreak/>
              <w:t>12. Visa suma (</w:t>
            </w:r>
            <w:r w:rsidRPr="005F4047">
              <w:t>nacionalinė ir ES), kurią, tikimasi</w:t>
            </w:r>
            <w:r w:rsidR="003B1F6F" w:rsidRPr="005F4047">
              <w:t xml:space="preserve">, Komisija šiuo pagrindu atlygins </w:t>
            </w:r>
          </w:p>
        </w:tc>
        <w:tc>
          <w:tcPr>
            <w:tcW w:w="5670" w:type="dxa"/>
            <w:vAlign w:val="center"/>
          </w:tcPr>
          <w:p w14:paraId="537F3A76" w14:textId="77777777" w:rsidR="00D00F0A" w:rsidRPr="00D62DD8" w:rsidRDefault="00D00F0A" w:rsidP="00D00F0A">
            <w:pPr>
              <w:spacing w:before="60" w:after="60" w:line="240" w:lineRule="auto"/>
            </w:pPr>
            <w:r>
              <w:t xml:space="preserve">Netaikoma. </w:t>
            </w:r>
          </w:p>
        </w:tc>
      </w:tr>
    </w:tbl>
    <w:p w14:paraId="43E0387D" w14:textId="77777777" w:rsidR="003E2292" w:rsidRPr="005F4047" w:rsidRDefault="003E2292" w:rsidP="003E2292"/>
    <w:p w14:paraId="2915E4ED" w14:textId="77777777" w:rsidR="0053238D" w:rsidRPr="00D62DD8" w:rsidRDefault="0053238D" w:rsidP="00F450A6">
      <w:pPr>
        <w:pStyle w:val="Point0"/>
        <w:jc w:val="both"/>
      </w:pPr>
    </w:p>
    <w:p w14:paraId="06AAB12B" w14:textId="49835D4E" w:rsidR="003E2292" w:rsidRPr="007F0BE9" w:rsidRDefault="003E2292" w:rsidP="003E2292">
      <w:pPr>
        <w:pStyle w:val="Point0"/>
      </w:pPr>
    </w:p>
    <w:p w14:paraId="0CCE486F" w14:textId="77777777" w:rsidR="00B95202" w:rsidRDefault="00B95202"/>
    <w:sectPr w:rsidR="00B9520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1E4E" w14:textId="77777777" w:rsidR="00D82E8B" w:rsidRDefault="00D82E8B" w:rsidP="003E2292">
      <w:pPr>
        <w:spacing w:before="0" w:after="0" w:line="240" w:lineRule="auto"/>
      </w:pPr>
      <w:r>
        <w:separator/>
      </w:r>
    </w:p>
  </w:endnote>
  <w:endnote w:type="continuationSeparator" w:id="0">
    <w:p w14:paraId="7FF973BF" w14:textId="77777777" w:rsidR="00D82E8B" w:rsidRDefault="00D82E8B" w:rsidP="003E22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FreightSans Pro Bold">
    <w:altName w:val="Calibri"/>
    <w:charset w:val="00"/>
    <w:family w:val="auto"/>
    <w:pitch w:val="variable"/>
    <w:sig w:usb0="A00000AF" w:usb1="5000044B" w:usb2="00000000" w:usb3="00000000" w:csb0="00000093" w:csb1="00000000"/>
  </w:font>
  <w:font w:name="Tahoma">
    <w:panose1 w:val="020B0604030504040204"/>
    <w:charset w:val="BA"/>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E313" w14:textId="77777777" w:rsidR="00D82E8B" w:rsidRDefault="00D82E8B" w:rsidP="003E2292">
      <w:pPr>
        <w:spacing w:before="0" w:after="0" w:line="240" w:lineRule="auto"/>
      </w:pPr>
      <w:r>
        <w:separator/>
      </w:r>
    </w:p>
  </w:footnote>
  <w:footnote w:type="continuationSeparator" w:id="0">
    <w:p w14:paraId="214EC2D6" w14:textId="77777777" w:rsidR="00D82E8B" w:rsidRDefault="00D82E8B" w:rsidP="003E2292">
      <w:pPr>
        <w:spacing w:before="0" w:after="0" w:line="240" w:lineRule="auto"/>
      </w:pPr>
      <w:r>
        <w:continuationSeparator/>
      </w:r>
    </w:p>
  </w:footnote>
  <w:footnote w:id="1">
    <w:p w14:paraId="5AAA4CDE" w14:textId="77777777" w:rsidR="003E2292" w:rsidRPr="00265B42" w:rsidRDefault="003E2292" w:rsidP="00265B42">
      <w:pPr>
        <w:pStyle w:val="Puslapioinaostekstas"/>
        <w:jc w:val="both"/>
        <w:rPr>
          <w:bCs/>
          <w:sz w:val="20"/>
        </w:rPr>
      </w:pPr>
      <w:r w:rsidRPr="00265B42">
        <w:rPr>
          <w:rStyle w:val="Puslapioinaosnuoroda"/>
          <w:sz w:val="20"/>
        </w:rPr>
        <w:footnoteRef/>
      </w:r>
      <w:r w:rsidRPr="00265B42">
        <w:rPr>
          <w:sz w:val="20"/>
        </w:rPr>
        <w:tab/>
        <w:t>Numatoma veiksmų atrankos pradžios data ir numatoma jų užbaigimo galutinė data.</w:t>
      </w:r>
    </w:p>
  </w:footnote>
  <w:footnote w:id="2">
    <w:p w14:paraId="6A2882FA" w14:textId="333BB79C" w:rsidR="000422FD" w:rsidRPr="000422FD" w:rsidRDefault="000422FD" w:rsidP="000422FD">
      <w:pPr>
        <w:pStyle w:val="Puslapioinaostekstas"/>
        <w:jc w:val="both"/>
        <w:rPr>
          <w:sz w:val="20"/>
        </w:rPr>
      </w:pPr>
      <w:r w:rsidRPr="000422FD">
        <w:rPr>
          <w:rStyle w:val="Puslapioinaosnuoroda"/>
          <w:sz w:val="20"/>
        </w:rPr>
        <w:footnoteRef/>
      </w:r>
      <w:r w:rsidRPr="000422FD">
        <w:rPr>
          <w:sz w:val="20"/>
        </w:rPr>
        <w:tab/>
        <w:t>„Naujos kartos Lietuva“ planas priimtas 2021 m. liepos 28 d. Europos Sąjungos Tarybos įgyvendinimo sprendimu dėl Lietuvos ekonomikos gaivinimo ir atsparumo didinimo plano įvertinimo patvirtinimo. Šaltinis: Ekonomikos gaivinimo ir atsparumo didinimo planas „Naujos kartos Lietuva“ (lrv.lt)</w:t>
      </w:r>
    </w:p>
  </w:footnote>
  <w:footnote w:id="3">
    <w:p w14:paraId="63F9B3FF" w14:textId="77777777" w:rsidR="003E2292" w:rsidRPr="00D62DD8" w:rsidRDefault="003E2292" w:rsidP="00265B42">
      <w:pPr>
        <w:pStyle w:val="Puslapioinaostekstas"/>
        <w:jc w:val="both"/>
        <w:rPr>
          <w:bCs/>
          <w:szCs w:val="24"/>
        </w:rPr>
      </w:pPr>
      <w:r w:rsidRPr="00265B42">
        <w:rPr>
          <w:rStyle w:val="Puslapioinaosnuoroda"/>
          <w:sz w:val="20"/>
        </w:rPr>
        <w:footnoteRef/>
      </w:r>
      <w:r w:rsidRPr="00265B42">
        <w:rPr>
          <w:sz w:val="20"/>
        </w:rPr>
        <w:tab/>
        <w:t>Veiksmų, apimančių kelis supaprastinto išlaidų apmokėjimo būdus, skirtingus projektus ar vienas po kito einančius veiksmo etapus, atveju reikia užpildyti 3–11 laukelius kiekvienam rodikliui, kurį pasiekus išlaidos yra atlyginamos.</w:t>
      </w:r>
    </w:p>
  </w:footnote>
  <w:footnote w:id="4">
    <w:p w14:paraId="7D7B185F" w14:textId="77777777" w:rsidR="00D00F0A" w:rsidRPr="009512C6" w:rsidRDefault="00D00F0A" w:rsidP="00A06D5A">
      <w:pPr>
        <w:pStyle w:val="Puslapioinaostekstas"/>
        <w:ind w:left="142" w:hanging="142"/>
        <w:rPr>
          <w:sz w:val="20"/>
        </w:rPr>
      </w:pPr>
      <w:r w:rsidRPr="009512C6">
        <w:rPr>
          <w:rStyle w:val="Puslapioinaosnuoroda"/>
          <w:sz w:val="20"/>
        </w:rPr>
        <w:footnoteRef/>
      </w:r>
      <w:r w:rsidRPr="009512C6">
        <w:rPr>
          <w:sz w:val="20"/>
        </w:rPr>
        <w:tab/>
        <w:t>Jei taikytina, nurodykite koregavimo dažnumą ir laiką ir pateikite aiškią nuorodą į konkretų rodiklį (įskaitant saitą į interneto svetainę, kurioje šis rodiklis paskelbtas, jei taikytina).</w:t>
      </w:r>
    </w:p>
  </w:footnote>
  <w:footnote w:id="5">
    <w:p w14:paraId="195EC00C" w14:textId="77777777" w:rsidR="00921176" w:rsidRDefault="00921176" w:rsidP="00921176">
      <w:pPr>
        <w:pStyle w:val="Puslapioinaostekstas"/>
        <w:ind w:left="142" w:hanging="142"/>
        <w:jc w:val="both"/>
      </w:pPr>
      <w:r w:rsidRPr="00DB5E38">
        <w:rPr>
          <w:rStyle w:val="Puslapioinaosnuoroda"/>
          <w:sz w:val="20"/>
        </w:rPr>
        <w:footnoteRef/>
      </w:r>
      <w:r w:rsidRPr="00DB5E38">
        <w:rPr>
          <w:sz w:val="20"/>
        </w:rPr>
        <w:t xml:space="preserve"> Vadovaujantis Lietuvos Respublikos finansų ministro 2022 m. birželio 22 d. įsakymu Nr. 1K-237 „Dėl 2021–2027 metų Europos Sąjungos fondų investicijų programos ir Ekonomikos gaivinimo ir atsparumo didinimo plano „Naujos kartos Lietuva“ įgyvendinimo“ teikiama veiklos ataskaita, kurios viena iš dalių – mokėjimo prašymas.</w:t>
      </w:r>
    </w:p>
  </w:footnote>
  <w:footnote w:id="6">
    <w:p w14:paraId="2D13833C" w14:textId="4DA59B55" w:rsidR="00492B47" w:rsidRDefault="00492B47" w:rsidP="002C308C">
      <w:pPr>
        <w:pStyle w:val="Puslapioinaostekstas"/>
        <w:ind w:left="142" w:hanging="142"/>
        <w:jc w:val="both"/>
      </w:pPr>
      <w:r w:rsidRPr="00E037FC">
        <w:rPr>
          <w:rStyle w:val="Puslapioinaosnuoroda"/>
          <w:sz w:val="20"/>
        </w:rPr>
        <w:footnoteRef/>
      </w:r>
      <w:r>
        <w:t xml:space="preserve">  </w:t>
      </w:r>
      <w:r w:rsidR="00E70120" w:rsidRPr="00E70120">
        <w:rPr>
          <w:sz w:val="20"/>
        </w:rPr>
        <w:t>Šaltinis</w:t>
      </w:r>
      <w:r w:rsidR="00E70120" w:rsidRPr="007208F8">
        <w:rPr>
          <w:sz w:val="20"/>
        </w:rPr>
        <w:t xml:space="preserve">: </w:t>
      </w:r>
      <w:hyperlink r:id="rId1" w:history="1">
        <w:r w:rsidR="00B1011B" w:rsidRPr="007208F8">
          <w:rPr>
            <w:rStyle w:val="Hipersaitas"/>
            <w:color w:val="auto"/>
            <w:sz w:val="20"/>
          </w:rPr>
          <w:t>https://www.e-tar.lt/portal/lt/legalAct/14e33320f1ed11ec8fa7d02a65c371ad</w:t>
        </w:r>
      </w:hyperlink>
      <w:r w:rsidR="00B1011B" w:rsidRPr="007208F8">
        <w:rPr>
          <w:sz w:val="20"/>
        </w:rPr>
        <w:t xml:space="preserve"> </w:t>
      </w:r>
      <w:r w:rsidR="00E70120" w:rsidRPr="007208F8">
        <w:rPr>
          <w:sz w:val="20"/>
        </w:rPr>
        <w:t xml:space="preserve"> </w:t>
      </w:r>
    </w:p>
  </w:footnote>
  <w:footnote w:id="7">
    <w:p w14:paraId="609E5B61" w14:textId="77777777" w:rsidR="00D00F0A" w:rsidRPr="009512C6" w:rsidRDefault="00D00F0A" w:rsidP="002C308C">
      <w:pPr>
        <w:pStyle w:val="Puslapioinaostekstas"/>
        <w:ind w:left="142" w:hanging="142"/>
        <w:rPr>
          <w:sz w:val="20"/>
        </w:rPr>
      </w:pPr>
      <w:r w:rsidRPr="009512C6">
        <w:rPr>
          <w:rStyle w:val="Puslapioinaosnuoroda"/>
          <w:sz w:val="20"/>
        </w:rPr>
        <w:footnoteRef/>
      </w:r>
      <w:r w:rsidRPr="009512C6">
        <w:rPr>
          <w:sz w:val="20"/>
        </w:rPr>
        <w:tab/>
        <w:t>Ar yra kokių nors galimų neigiamų pasekmių remiamų veiksmų kokybei ir, jei taip, kokių priemonių (pvz., kokybės užtikrinimo) bus imtasi šiai rizikai kompensuoti?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200E" w14:textId="54E4CD1E" w:rsidR="00AE25A2" w:rsidRPr="008E1F81" w:rsidRDefault="00D6698E" w:rsidP="00B1011B">
    <w:pPr>
      <w:tabs>
        <w:tab w:val="center" w:pos="4819"/>
        <w:tab w:val="right" w:pos="9638"/>
      </w:tabs>
      <w:spacing w:before="0" w:after="0" w:line="240" w:lineRule="auto"/>
      <w:ind w:firstLine="2694"/>
      <w:jc w:val="right"/>
      <w:rPr>
        <w:rFonts w:ascii="Calibri" w:eastAsia="Calibri" w:hAnsi="Calibri"/>
        <w:kern w:val="16"/>
        <w:sz w:val="21"/>
        <w:szCs w:val="21"/>
      </w:rPr>
    </w:pPr>
    <w:r w:rsidRPr="008E1F81">
      <w:rPr>
        <w:rFonts w:ascii="Calibri" w:eastAsia="Calibri" w:hAnsi="Calibri"/>
        <w:kern w:val="16"/>
        <w:sz w:val="21"/>
        <w:szCs w:val="21"/>
      </w:rPr>
      <w:t>E</w:t>
    </w:r>
    <w:r w:rsidR="00AE25A2" w:rsidRPr="008E1F81">
      <w:rPr>
        <w:rFonts w:ascii="Calibri" w:eastAsia="Calibri" w:hAnsi="Calibri"/>
        <w:kern w:val="16"/>
        <w:sz w:val="21"/>
        <w:szCs w:val="21"/>
      </w:rPr>
      <w:t>lektromobilių įkrovimo</w:t>
    </w:r>
    <w:r w:rsidR="00AC217B" w:rsidRPr="008E1F81">
      <w:rPr>
        <w:rFonts w:ascii="Calibri" w:eastAsia="Calibri" w:hAnsi="Calibri"/>
        <w:kern w:val="16"/>
        <w:sz w:val="21"/>
        <w:szCs w:val="21"/>
      </w:rPr>
      <w:t xml:space="preserve"> prieigų </w:t>
    </w:r>
    <w:r w:rsidR="006C7C96" w:rsidRPr="008E1F81">
      <w:rPr>
        <w:rFonts w:ascii="Calibri" w:eastAsia="Calibri" w:hAnsi="Calibri"/>
        <w:kern w:val="16"/>
        <w:sz w:val="21"/>
        <w:szCs w:val="21"/>
      </w:rPr>
      <w:t>įsi</w:t>
    </w:r>
    <w:r w:rsidR="008162D8" w:rsidRPr="008E1F81">
      <w:rPr>
        <w:rFonts w:ascii="Calibri" w:eastAsia="Calibri" w:hAnsi="Calibri"/>
        <w:kern w:val="16"/>
        <w:sz w:val="21"/>
        <w:szCs w:val="21"/>
      </w:rPr>
      <w:t>gijimo</w:t>
    </w:r>
    <w:r w:rsidR="006C7C96" w:rsidRPr="008E1F81">
      <w:rPr>
        <w:rFonts w:ascii="Calibri" w:eastAsia="Calibri" w:hAnsi="Calibri"/>
        <w:kern w:val="16"/>
        <w:sz w:val="21"/>
        <w:szCs w:val="21"/>
      </w:rPr>
      <w:t xml:space="preserve"> ir </w:t>
    </w:r>
    <w:r w:rsidR="00AE25A2" w:rsidRPr="008E1F81">
      <w:rPr>
        <w:rFonts w:ascii="Calibri" w:eastAsia="Calibri" w:hAnsi="Calibri"/>
        <w:kern w:val="16"/>
        <w:sz w:val="21"/>
        <w:szCs w:val="21"/>
      </w:rPr>
      <w:t xml:space="preserve">įrengimo </w:t>
    </w:r>
  </w:p>
  <w:p w14:paraId="552D80F1" w14:textId="30603ED6" w:rsidR="00AE25A2" w:rsidRPr="005F4047" w:rsidRDefault="00B1011B" w:rsidP="00B1011B">
    <w:pPr>
      <w:tabs>
        <w:tab w:val="center" w:pos="4819"/>
        <w:tab w:val="right" w:pos="9638"/>
      </w:tabs>
      <w:spacing w:before="0" w:after="0" w:line="240" w:lineRule="auto"/>
      <w:ind w:firstLine="2694"/>
      <w:jc w:val="right"/>
      <w:rPr>
        <w:rFonts w:ascii="Calibri" w:eastAsia="Calibri" w:hAnsi="Calibri"/>
        <w:kern w:val="16"/>
        <w:sz w:val="21"/>
        <w:szCs w:val="21"/>
      </w:rPr>
    </w:pPr>
    <w:r w:rsidRPr="008E1F81">
      <w:rPr>
        <w:rFonts w:ascii="Calibri" w:eastAsia="Calibri" w:hAnsi="Calibri"/>
        <w:kern w:val="16"/>
        <w:sz w:val="21"/>
        <w:szCs w:val="21"/>
      </w:rPr>
      <w:t xml:space="preserve">    </w:t>
    </w:r>
    <w:r w:rsidR="006C7C96" w:rsidRPr="008E1F81">
      <w:rPr>
        <w:rFonts w:ascii="Calibri" w:eastAsia="Calibri" w:hAnsi="Calibri"/>
        <w:kern w:val="16"/>
        <w:sz w:val="21"/>
        <w:szCs w:val="21"/>
      </w:rPr>
      <w:t>f</w:t>
    </w:r>
    <w:r w:rsidR="004D0F7E" w:rsidRPr="008E1F81">
      <w:rPr>
        <w:rFonts w:ascii="Calibri" w:eastAsia="Calibri" w:hAnsi="Calibri"/>
        <w:kern w:val="16"/>
        <w:sz w:val="21"/>
        <w:szCs w:val="21"/>
      </w:rPr>
      <w:t>iksuotųjų</w:t>
    </w:r>
    <w:r w:rsidRPr="008E1F81">
      <w:rPr>
        <w:rFonts w:ascii="Calibri" w:eastAsia="Calibri" w:hAnsi="Calibri"/>
        <w:kern w:val="16"/>
        <w:sz w:val="21"/>
        <w:szCs w:val="21"/>
      </w:rPr>
      <w:t xml:space="preserve"> vieneto</w:t>
    </w:r>
    <w:r w:rsidR="004D0F7E" w:rsidRPr="008E1F81">
      <w:rPr>
        <w:rFonts w:ascii="Calibri" w:eastAsia="Calibri" w:hAnsi="Calibri"/>
        <w:kern w:val="16"/>
        <w:sz w:val="21"/>
        <w:szCs w:val="21"/>
      </w:rPr>
      <w:t xml:space="preserve"> įkainių </w:t>
    </w:r>
    <w:r w:rsidR="00AE25A2" w:rsidRPr="008E1F81">
      <w:rPr>
        <w:rFonts w:ascii="Calibri" w:eastAsia="Calibri" w:hAnsi="Calibri"/>
        <w:kern w:val="16"/>
        <w:sz w:val="21"/>
        <w:szCs w:val="21"/>
      </w:rPr>
      <w:t xml:space="preserve">nustatymo tyrimas </w:t>
    </w:r>
    <w:r w:rsidR="00AE25A2" w:rsidRPr="005F4047">
      <w:rPr>
        <w:rFonts w:ascii="Calibri" w:eastAsia="Calibri" w:hAnsi="Calibri"/>
        <w:kern w:val="16"/>
        <w:sz w:val="21"/>
        <w:szCs w:val="21"/>
      </w:rPr>
      <w:t>202</w:t>
    </w:r>
    <w:r w:rsidR="00982EB8">
      <w:rPr>
        <w:rFonts w:ascii="Calibri" w:eastAsia="Calibri" w:hAnsi="Calibri"/>
        <w:kern w:val="16"/>
        <w:sz w:val="21"/>
        <w:szCs w:val="21"/>
      </w:rPr>
      <w:t>3</w:t>
    </w:r>
    <w:r w:rsidR="00AE25A2" w:rsidRPr="005F4047">
      <w:rPr>
        <w:rFonts w:ascii="Calibri" w:eastAsia="Calibri" w:hAnsi="Calibri"/>
        <w:kern w:val="16"/>
        <w:sz w:val="21"/>
        <w:szCs w:val="21"/>
      </w:rPr>
      <w:t xml:space="preserve"> m.</w:t>
    </w:r>
    <w:r w:rsidR="005267E6">
      <w:rPr>
        <w:rFonts w:ascii="Calibri" w:eastAsia="Calibri" w:hAnsi="Calibri"/>
        <w:kern w:val="16"/>
        <w:sz w:val="21"/>
        <w:szCs w:val="21"/>
      </w:rPr>
      <w:t xml:space="preserve">  </w:t>
    </w:r>
    <w:r w:rsidR="00F64AA7">
      <w:rPr>
        <w:rFonts w:ascii="Calibri" w:eastAsia="Calibri" w:hAnsi="Calibri"/>
        <w:kern w:val="16"/>
        <w:sz w:val="21"/>
        <w:szCs w:val="21"/>
      </w:rPr>
      <w:t>liepos 26</w:t>
    </w:r>
    <w:r w:rsidR="00AE25A2" w:rsidRPr="005F4047">
      <w:rPr>
        <w:rFonts w:ascii="Calibri" w:eastAsia="Calibri" w:hAnsi="Calibri"/>
        <w:kern w:val="16"/>
        <w:sz w:val="21"/>
        <w:szCs w:val="21"/>
      </w:rPr>
      <w:t xml:space="preserve"> </w:t>
    </w:r>
    <w:r w:rsidR="00982EB8">
      <w:rPr>
        <w:rFonts w:ascii="Calibri" w:eastAsia="Calibri" w:hAnsi="Calibri"/>
        <w:kern w:val="16"/>
        <w:sz w:val="21"/>
        <w:szCs w:val="21"/>
      </w:rPr>
      <w:t xml:space="preserve"> </w:t>
    </w:r>
    <w:r w:rsidR="00AE25A2" w:rsidRPr="005F4047">
      <w:rPr>
        <w:rFonts w:ascii="Calibri" w:eastAsia="Calibri" w:hAnsi="Calibri"/>
        <w:kern w:val="16"/>
        <w:sz w:val="21"/>
        <w:szCs w:val="21"/>
      </w:rPr>
      <w:t>d.</w:t>
    </w:r>
  </w:p>
  <w:p w14:paraId="4DB87ECF" w14:textId="77777777" w:rsidR="004D0F7E" w:rsidRPr="004D0F7E" w:rsidRDefault="004D0F7E" w:rsidP="004D0F7E">
    <w:pPr>
      <w:tabs>
        <w:tab w:val="center" w:pos="4819"/>
        <w:tab w:val="right" w:pos="9638"/>
      </w:tabs>
      <w:spacing w:before="0" w:after="0" w:line="240" w:lineRule="auto"/>
      <w:ind w:firstLine="2694"/>
      <w:jc w:val="right"/>
      <w:rPr>
        <w:rFonts w:ascii="Calibri" w:eastAsia="Calibri" w:hAnsi="Calibri"/>
        <w:kern w:val="16"/>
        <w:sz w:val="21"/>
        <w:szCs w:val="21"/>
      </w:rPr>
    </w:pPr>
  </w:p>
  <w:p w14:paraId="39E59C33" w14:textId="77777777" w:rsidR="004D0F7E" w:rsidRDefault="004D0F7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461"/>
    <w:multiLevelType w:val="hybridMultilevel"/>
    <w:tmpl w:val="3CB8D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04AEF"/>
    <w:multiLevelType w:val="hybridMultilevel"/>
    <w:tmpl w:val="0B0C2B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EF1084"/>
    <w:multiLevelType w:val="hybridMultilevel"/>
    <w:tmpl w:val="A1281114"/>
    <w:lvl w:ilvl="0" w:tplc="5A0ABA3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7BC4DF1"/>
    <w:multiLevelType w:val="hybridMultilevel"/>
    <w:tmpl w:val="F7A663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E0D0927"/>
    <w:multiLevelType w:val="hybridMultilevel"/>
    <w:tmpl w:val="DCBA5680"/>
    <w:lvl w:ilvl="0" w:tplc="C7A0DEC8">
      <w:start w:val="2"/>
      <w:numFmt w:val="bullet"/>
      <w:lvlText w:val="-"/>
      <w:lvlJc w:val="left"/>
      <w:pPr>
        <w:ind w:left="720" w:hanging="360"/>
      </w:pPr>
      <w:rPr>
        <w:rFonts w:ascii="Times New Roman" w:eastAsiaTheme="minorHAnsi" w:hAnsi="Times New Roman" w:cs="Times New Roman"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2132302F"/>
    <w:multiLevelType w:val="hybridMultilevel"/>
    <w:tmpl w:val="816A27DE"/>
    <w:lvl w:ilvl="0" w:tplc="5A0ABA3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D891D9F"/>
    <w:multiLevelType w:val="hybridMultilevel"/>
    <w:tmpl w:val="187EDBD6"/>
    <w:lvl w:ilvl="0" w:tplc="C7A0DEC8">
      <w:start w:val="2"/>
      <w:numFmt w:val="bullet"/>
      <w:lvlText w:val="-"/>
      <w:lvlJc w:val="left"/>
      <w:pPr>
        <w:ind w:left="720" w:hanging="360"/>
      </w:pPr>
      <w:rPr>
        <w:rFonts w:ascii="Times New Roman" w:eastAsiaTheme="minorHAnsi"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1791930"/>
    <w:multiLevelType w:val="hybridMultilevel"/>
    <w:tmpl w:val="F782DC94"/>
    <w:lvl w:ilvl="0" w:tplc="C7A0DEC8">
      <w:start w:val="2"/>
      <w:numFmt w:val="bullet"/>
      <w:lvlText w:val="-"/>
      <w:lvlJc w:val="left"/>
      <w:pPr>
        <w:ind w:left="720" w:hanging="360"/>
      </w:pPr>
      <w:rPr>
        <w:rFonts w:ascii="Times New Roman" w:eastAsiaTheme="minorHAnsi"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3D9546F"/>
    <w:multiLevelType w:val="hybridMultilevel"/>
    <w:tmpl w:val="3CB8D2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62E4D74"/>
    <w:multiLevelType w:val="hybridMultilevel"/>
    <w:tmpl w:val="4F8C23A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3B0331FF"/>
    <w:multiLevelType w:val="hybridMultilevel"/>
    <w:tmpl w:val="6CA694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C9B5511"/>
    <w:multiLevelType w:val="hybridMultilevel"/>
    <w:tmpl w:val="8474EC62"/>
    <w:lvl w:ilvl="0" w:tplc="5A0ABA3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EA91C9D"/>
    <w:multiLevelType w:val="hybridMultilevel"/>
    <w:tmpl w:val="B842731C"/>
    <w:lvl w:ilvl="0" w:tplc="9A3C7F80">
      <w:start w:val="1"/>
      <w:numFmt w:val="decimal"/>
      <w:lvlText w:val="%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8F85A6C"/>
    <w:multiLevelType w:val="hybridMultilevel"/>
    <w:tmpl w:val="5C06EB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D333F6A"/>
    <w:multiLevelType w:val="hybridMultilevel"/>
    <w:tmpl w:val="596E41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EC15FA5"/>
    <w:multiLevelType w:val="hybridMultilevel"/>
    <w:tmpl w:val="205012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2BE615A"/>
    <w:multiLevelType w:val="hybridMultilevel"/>
    <w:tmpl w:val="F7FC4A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47A62E9"/>
    <w:multiLevelType w:val="hybridMultilevel"/>
    <w:tmpl w:val="4CACDC18"/>
    <w:lvl w:ilvl="0" w:tplc="6964B99C">
      <w:start w:val="4"/>
      <w:numFmt w:val="bullet"/>
      <w:lvlText w:val="-"/>
      <w:lvlJc w:val="left"/>
      <w:pPr>
        <w:ind w:left="405" w:hanging="360"/>
      </w:pPr>
      <w:rPr>
        <w:rFonts w:ascii="Times New Roman" w:eastAsiaTheme="minorHAnsi" w:hAnsi="Times New Roman"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8" w15:restartNumberingAfterBreak="0">
    <w:nsid w:val="64BA6F76"/>
    <w:multiLevelType w:val="hybridMultilevel"/>
    <w:tmpl w:val="84B817E0"/>
    <w:lvl w:ilvl="0" w:tplc="5A0ABA3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B2B2D49"/>
    <w:multiLevelType w:val="hybridMultilevel"/>
    <w:tmpl w:val="AC3E51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28E0D06"/>
    <w:multiLevelType w:val="hybridMultilevel"/>
    <w:tmpl w:val="F702C4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4BC1167"/>
    <w:multiLevelType w:val="hybridMultilevel"/>
    <w:tmpl w:val="C2DAB7AE"/>
    <w:lvl w:ilvl="0" w:tplc="5A0ABA3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8094352"/>
    <w:multiLevelType w:val="hybridMultilevel"/>
    <w:tmpl w:val="E3BE94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5456612">
    <w:abstractNumId w:val="16"/>
  </w:num>
  <w:num w:numId="2" w16cid:durableId="166330654">
    <w:abstractNumId w:val="11"/>
  </w:num>
  <w:num w:numId="3" w16cid:durableId="1032607476">
    <w:abstractNumId w:val="10"/>
  </w:num>
  <w:num w:numId="4" w16cid:durableId="1595934749">
    <w:abstractNumId w:val="2"/>
  </w:num>
  <w:num w:numId="5" w16cid:durableId="2037580167">
    <w:abstractNumId w:val="13"/>
  </w:num>
  <w:num w:numId="6" w16cid:durableId="2134473678">
    <w:abstractNumId w:val="9"/>
  </w:num>
  <w:num w:numId="7" w16cid:durableId="1921135722">
    <w:abstractNumId w:val="5"/>
  </w:num>
  <w:num w:numId="8" w16cid:durableId="1321419407">
    <w:abstractNumId w:val="4"/>
  </w:num>
  <w:num w:numId="9" w16cid:durableId="446392761">
    <w:abstractNumId w:val="21"/>
  </w:num>
  <w:num w:numId="10" w16cid:durableId="1622221208">
    <w:abstractNumId w:val="6"/>
  </w:num>
  <w:num w:numId="11" w16cid:durableId="879977232">
    <w:abstractNumId w:val="17"/>
  </w:num>
  <w:num w:numId="12" w16cid:durableId="796994771">
    <w:abstractNumId w:val="7"/>
  </w:num>
  <w:num w:numId="13" w16cid:durableId="2060862445">
    <w:abstractNumId w:val="22"/>
  </w:num>
  <w:num w:numId="14" w16cid:durableId="1791432698">
    <w:abstractNumId w:val="8"/>
  </w:num>
  <w:num w:numId="15" w16cid:durableId="2053070575">
    <w:abstractNumId w:val="0"/>
  </w:num>
  <w:num w:numId="16" w16cid:durableId="1188518521">
    <w:abstractNumId w:val="12"/>
  </w:num>
  <w:num w:numId="17" w16cid:durableId="971593190">
    <w:abstractNumId w:val="18"/>
  </w:num>
  <w:num w:numId="18" w16cid:durableId="1840726755">
    <w:abstractNumId w:val="14"/>
  </w:num>
  <w:num w:numId="19" w16cid:durableId="2108231829">
    <w:abstractNumId w:val="1"/>
  </w:num>
  <w:num w:numId="20" w16cid:durableId="665548021">
    <w:abstractNumId w:val="15"/>
  </w:num>
  <w:num w:numId="21" w16cid:durableId="2017728835">
    <w:abstractNumId w:val="3"/>
  </w:num>
  <w:num w:numId="22" w16cid:durableId="187912103">
    <w:abstractNumId w:val="19"/>
  </w:num>
  <w:num w:numId="23" w16cid:durableId="17655706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71"/>
    <w:rsid w:val="00002B63"/>
    <w:rsid w:val="00002BF5"/>
    <w:rsid w:val="000058DC"/>
    <w:rsid w:val="00011251"/>
    <w:rsid w:val="000142C7"/>
    <w:rsid w:val="00014F8B"/>
    <w:rsid w:val="00016155"/>
    <w:rsid w:val="00017173"/>
    <w:rsid w:val="00017A94"/>
    <w:rsid w:val="00022161"/>
    <w:rsid w:val="00022595"/>
    <w:rsid w:val="00023D1C"/>
    <w:rsid w:val="00025BD4"/>
    <w:rsid w:val="0002680F"/>
    <w:rsid w:val="0002712D"/>
    <w:rsid w:val="00030CB2"/>
    <w:rsid w:val="000360A7"/>
    <w:rsid w:val="00036E4B"/>
    <w:rsid w:val="000422FD"/>
    <w:rsid w:val="00042788"/>
    <w:rsid w:val="00044A81"/>
    <w:rsid w:val="0004561A"/>
    <w:rsid w:val="00046C57"/>
    <w:rsid w:val="00050309"/>
    <w:rsid w:val="00052FAD"/>
    <w:rsid w:val="000557B2"/>
    <w:rsid w:val="000577CC"/>
    <w:rsid w:val="000615DC"/>
    <w:rsid w:val="00066411"/>
    <w:rsid w:val="000705CF"/>
    <w:rsid w:val="00071C68"/>
    <w:rsid w:val="00074901"/>
    <w:rsid w:val="0008547F"/>
    <w:rsid w:val="000911EE"/>
    <w:rsid w:val="000A07F5"/>
    <w:rsid w:val="000A160A"/>
    <w:rsid w:val="000A3455"/>
    <w:rsid w:val="000A4071"/>
    <w:rsid w:val="000A41CE"/>
    <w:rsid w:val="000A5FA5"/>
    <w:rsid w:val="000B177E"/>
    <w:rsid w:val="000B206D"/>
    <w:rsid w:val="000B73DB"/>
    <w:rsid w:val="000C4219"/>
    <w:rsid w:val="000C4B8B"/>
    <w:rsid w:val="000C52D9"/>
    <w:rsid w:val="000C6334"/>
    <w:rsid w:val="000D3036"/>
    <w:rsid w:val="000F14F3"/>
    <w:rsid w:val="000F2637"/>
    <w:rsid w:val="000F4E73"/>
    <w:rsid w:val="000F5A88"/>
    <w:rsid w:val="000F7B3F"/>
    <w:rsid w:val="00110FE5"/>
    <w:rsid w:val="0011333E"/>
    <w:rsid w:val="00127455"/>
    <w:rsid w:val="0013327E"/>
    <w:rsid w:val="00133972"/>
    <w:rsid w:val="00141829"/>
    <w:rsid w:val="00145313"/>
    <w:rsid w:val="00147943"/>
    <w:rsid w:val="00147F34"/>
    <w:rsid w:val="0015572A"/>
    <w:rsid w:val="00155C9C"/>
    <w:rsid w:val="001624E8"/>
    <w:rsid w:val="00164890"/>
    <w:rsid w:val="00165099"/>
    <w:rsid w:val="00167536"/>
    <w:rsid w:val="0017531D"/>
    <w:rsid w:val="0018537E"/>
    <w:rsid w:val="00186D6A"/>
    <w:rsid w:val="001912E6"/>
    <w:rsid w:val="00197370"/>
    <w:rsid w:val="001A0DE7"/>
    <w:rsid w:val="001A1AFC"/>
    <w:rsid w:val="001A4B17"/>
    <w:rsid w:val="001A765E"/>
    <w:rsid w:val="001B174E"/>
    <w:rsid w:val="001B2F70"/>
    <w:rsid w:val="001C040A"/>
    <w:rsid w:val="001C47DC"/>
    <w:rsid w:val="001C5AF4"/>
    <w:rsid w:val="001C5C38"/>
    <w:rsid w:val="001C6F30"/>
    <w:rsid w:val="001C6F77"/>
    <w:rsid w:val="001D1F9A"/>
    <w:rsid w:val="001D32FF"/>
    <w:rsid w:val="001D6F33"/>
    <w:rsid w:val="001E111E"/>
    <w:rsid w:val="001E15DD"/>
    <w:rsid w:val="001E59A9"/>
    <w:rsid w:val="001E5C78"/>
    <w:rsid w:val="001E6010"/>
    <w:rsid w:val="001F3018"/>
    <w:rsid w:val="001F3186"/>
    <w:rsid w:val="001F466F"/>
    <w:rsid w:val="001F4A3E"/>
    <w:rsid w:val="001F6C8F"/>
    <w:rsid w:val="001F7BCA"/>
    <w:rsid w:val="001F7D44"/>
    <w:rsid w:val="00203BEE"/>
    <w:rsid w:val="0021050C"/>
    <w:rsid w:val="00210B05"/>
    <w:rsid w:val="00211AAD"/>
    <w:rsid w:val="0021241B"/>
    <w:rsid w:val="00215E85"/>
    <w:rsid w:val="0021628D"/>
    <w:rsid w:val="002268C9"/>
    <w:rsid w:val="00227DB8"/>
    <w:rsid w:val="00233B0B"/>
    <w:rsid w:val="0024017D"/>
    <w:rsid w:val="00240699"/>
    <w:rsid w:val="00243A60"/>
    <w:rsid w:val="002456B4"/>
    <w:rsid w:val="0024634C"/>
    <w:rsid w:val="00246A12"/>
    <w:rsid w:val="00250EB8"/>
    <w:rsid w:val="00252596"/>
    <w:rsid w:val="002625C8"/>
    <w:rsid w:val="002633FC"/>
    <w:rsid w:val="00264EC7"/>
    <w:rsid w:val="00265B42"/>
    <w:rsid w:val="00270937"/>
    <w:rsid w:val="00272A65"/>
    <w:rsid w:val="00276C15"/>
    <w:rsid w:val="00287721"/>
    <w:rsid w:val="00294184"/>
    <w:rsid w:val="002941B9"/>
    <w:rsid w:val="00296495"/>
    <w:rsid w:val="00297482"/>
    <w:rsid w:val="002A030F"/>
    <w:rsid w:val="002A1F3F"/>
    <w:rsid w:val="002A2032"/>
    <w:rsid w:val="002B214F"/>
    <w:rsid w:val="002B3801"/>
    <w:rsid w:val="002B40CB"/>
    <w:rsid w:val="002B79B4"/>
    <w:rsid w:val="002C1537"/>
    <w:rsid w:val="002C308C"/>
    <w:rsid w:val="002C3E0B"/>
    <w:rsid w:val="002D200A"/>
    <w:rsid w:val="002D6277"/>
    <w:rsid w:val="002D7E74"/>
    <w:rsid w:val="002E066C"/>
    <w:rsid w:val="002E5E47"/>
    <w:rsid w:val="002E68D0"/>
    <w:rsid w:val="002F101B"/>
    <w:rsid w:val="002F1B9F"/>
    <w:rsid w:val="002F3405"/>
    <w:rsid w:val="002F3D78"/>
    <w:rsid w:val="002F3E59"/>
    <w:rsid w:val="002F3EA0"/>
    <w:rsid w:val="00301F2A"/>
    <w:rsid w:val="0030452E"/>
    <w:rsid w:val="00310C92"/>
    <w:rsid w:val="00311978"/>
    <w:rsid w:val="003122B7"/>
    <w:rsid w:val="00313776"/>
    <w:rsid w:val="00316531"/>
    <w:rsid w:val="00317695"/>
    <w:rsid w:val="00323317"/>
    <w:rsid w:val="00331A84"/>
    <w:rsid w:val="003321AF"/>
    <w:rsid w:val="003349B8"/>
    <w:rsid w:val="0033624F"/>
    <w:rsid w:val="0033784F"/>
    <w:rsid w:val="00342071"/>
    <w:rsid w:val="00342925"/>
    <w:rsid w:val="00344EB4"/>
    <w:rsid w:val="00346D8C"/>
    <w:rsid w:val="003501FD"/>
    <w:rsid w:val="00355861"/>
    <w:rsid w:val="00355F78"/>
    <w:rsid w:val="0035670A"/>
    <w:rsid w:val="00357237"/>
    <w:rsid w:val="00357378"/>
    <w:rsid w:val="00367A9B"/>
    <w:rsid w:val="0037103F"/>
    <w:rsid w:val="00374F93"/>
    <w:rsid w:val="00377DC4"/>
    <w:rsid w:val="00380B39"/>
    <w:rsid w:val="003828B6"/>
    <w:rsid w:val="003832B6"/>
    <w:rsid w:val="0038425D"/>
    <w:rsid w:val="0039182A"/>
    <w:rsid w:val="0039182B"/>
    <w:rsid w:val="00392C9F"/>
    <w:rsid w:val="00395469"/>
    <w:rsid w:val="00397CA2"/>
    <w:rsid w:val="003A1E7B"/>
    <w:rsid w:val="003A67C7"/>
    <w:rsid w:val="003B1736"/>
    <w:rsid w:val="003B17D7"/>
    <w:rsid w:val="003B1F6F"/>
    <w:rsid w:val="003B414C"/>
    <w:rsid w:val="003C22AE"/>
    <w:rsid w:val="003C3237"/>
    <w:rsid w:val="003C3E95"/>
    <w:rsid w:val="003C3F4E"/>
    <w:rsid w:val="003C4D6D"/>
    <w:rsid w:val="003C63C4"/>
    <w:rsid w:val="003C6856"/>
    <w:rsid w:val="003D1A09"/>
    <w:rsid w:val="003D2658"/>
    <w:rsid w:val="003E1272"/>
    <w:rsid w:val="003E1D30"/>
    <w:rsid w:val="003E2292"/>
    <w:rsid w:val="003E4574"/>
    <w:rsid w:val="003E4D44"/>
    <w:rsid w:val="003E6D56"/>
    <w:rsid w:val="003E7FE0"/>
    <w:rsid w:val="003F0B9F"/>
    <w:rsid w:val="003F152D"/>
    <w:rsid w:val="003F4D28"/>
    <w:rsid w:val="00401AB3"/>
    <w:rsid w:val="00401B65"/>
    <w:rsid w:val="00403B16"/>
    <w:rsid w:val="00404DFC"/>
    <w:rsid w:val="00407AEC"/>
    <w:rsid w:val="00410C6F"/>
    <w:rsid w:val="00411F2E"/>
    <w:rsid w:val="00412BA4"/>
    <w:rsid w:val="00416DCB"/>
    <w:rsid w:val="004213DE"/>
    <w:rsid w:val="0042300C"/>
    <w:rsid w:val="004257D9"/>
    <w:rsid w:val="00427830"/>
    <w:rsid w:val="004279DD"/>
    <w:rsid w:val="004306E4"/>
    <w:rsid w:val="00433161"/>
    <w:rsid w:val="0043519A"/>
    <w:rsid w:val="00437430"/>
    <w:rsid w:val="00442243"/>
    <w:rsid w:val="00442D8A"/>
    <w:rsid w:val="00443494"/>
    <w:rsid w:val="0044507D"/>
    <w:rsid w:val="00445480"/>
    <w:rsid w:val="004507FA"/>
    <w:rsid w:val="00450AAF"/>
    <w:rsid w:val="00451F36"/>
    <w:rsid w:val="00454B14"/>
    <w:rsid w:val="00467342"/>
    <w:rsid w:val="0047527E"/>
    <w:rsid w:val="00475398"/>
    <w:rsid w:val="0047546C"/>
    <w:rsid w:val="00480558"/>
    <w:rsid w:val="004840F6"/>
    <w:rsid w:val="00487887"/>
    <w:rsid w:val="00490B06"/>
    <w:rsid w:val="004913B3"/>
    <w:rsid w:val="00492315"/>
    <w:rsid w:val="00492B47"/>
    <w:rsid w:val="00494A8A"/>
    <w:rsid w:val="00494BB1"/>
    <w:rsid w:val="00495552"/>
    <w:rsid w:val="00497201"/>
    <w:rsid w:val="004A27C7"/>
    <w:rsid w:val="004B2231"/>
    <w:rsid w:val="004B3E99"/>
    <w:rsid w:val="004B5948"/>
    <w:rsid w:val="004C2825"/>
    <w:rsid w:val="004C5A14"/>
    <w:rsid w:val="004C6828"/>
    <w:rsid w:val="004D0F7E"/>
    <w:rsid w:val="004D2FBD"/>
    <w:rsid w:val="004D3D3C"/>
    <w:rsid w:val="004E1AF4"/>
    <w:rsid w:val="004E2182"/>
    <w:rsid w:val="004E3F18"/>
    <w:rsid w:val="004E4162"/>
    <w:rsid w:val="004E4410"/>
    <w:rsid w:val="004F0BB4"/>
    <w:rsid w:val="004F1837"/>
    <w:rsid w:val="004F2F04"/>
    <w:rsid w:val="004F37F1"/>
    <w:rsid w:val="00501E7F"/>
    <w:rsid w:val="00502CF4"/>
    <w:rsid w:val="00507218"/>
    <w:rsid w:val="00507F9F"/>
    <w:rsid w:val="00507FB4"/>
    <w:rsid w:val="0051076F"/>
    <w:rsid w:val="00511AC1"/>
    <w:rsid w:val="00512D94"/>
    <w:rsid w:val="00514F98"/>
    <w:rsid w:val="00517653"/>
    <w:rsid w:val="00521625"/>
    <w:rsid w:val="005218FC"/>
    <w:rsid w:val="00522F24"/>
    <w:rsid w:val="005267E6"/>
    <w:rsid w:val="00527B63"/>
    <w:rsid w:val="00530510"/>
    <w:rsid w:val="00531CC1"/>
    <w:rsid w:val="0053238D"/>
    <w:rsid w:val="00534FF8"/>
    <w:rsid w:val="005361A7"/>
    <w:rsid w:val="0055096F"/>
    <w:rsid w:val="0055218D"/>
    <w:rsid w:val="005523FE"/>
    <w:rsid w:val="00556FF8"/>
    <w:rsid w:val="00561FCC"/>
    <w:rsid w:val="00562DCD"/>
    <w:rsid w:val="00571A2B"/>
    <w:rsid w:val="00572B69"/>
    <w:rsid w:val="00576C3E"/>
    <w:rsid w:val="0057729D"/>
    <w:rsid w:val="00577F86"/>
    <w:rsid w:val="005841EC"/>
    <w:rsid w:val="00591476"/>
    <w:rsid w:val="00595895"/>
    <w:rsid w:val="00596332"/>
    <w:rsid w:val="005A350E"/>
    <w:rsid w:val="005A7AF8"/>
    <w:rsid w:val="005B2B7A"/>
    <w:rsid w:val="005B2B83"/>
    <w:rsid w:val="005B6181"/>
    <w:rsid w:val="005B6B80"/>
    <w:rsid w:val="005B74E5"/>
    <w:rsid w:val="005C12E1"/>
    <w:rsid w:val="005C3A20"/>
    <w:rsid w:val="005C48F4"/>
    <w:rsid w:val="005D12A7"/>
    <w:rsid w:val="005D507B"/>
    <w:rsid w:val="005D5396"/>
    <w:rsid w:val="005D70A9"/>
    <w:rsid w:val="005E3A99"/>
    <w:rsid w:val="005E50B1"/>
    <w:rsid w:val="005E609E"/>
    <w:rsid w:val="005F0953"/>
    <w:rsid w:val="005F2FE9"/>
    <w:rsid w:val="005F36B9"/>
    <w:rsid w:val="005F4047"/>
    <w:rsid w:val="005F506F"/>
    <w:rsid w:val="005F750B"/>
    <w:rsid w:val="00602256"/>
    <w:rsid w:val="00613F2A"/>
    <w:rsid w:val="00614735"/>
    <w:rsid w:val="00615694"/>
    <w:rsid w:val="0062312C"/>
    <w:rsid w:val="00623BE1"/>
    <w:rsid w:val="00630F02"/>
    <w:rsid w:val="00632508"/>
    <w:rsid w:val="0063281B"/>
    <w:rsid w:val="00633222"/>
    <w:rsid w:val="00634222"/>
    <w:rsid w:val="006404FC"/>
    <w:rsid w:val="00640E81"/>
    <w:rsid w:val="00644433"/>
    <w:rsid w:val="0064473D"/>
    <w:rsid w:val="00645481"/>
    <w:rsid w:val="0065144E"/>
    <w:rsid w:val="00652349"/>
    <w:rsid w:val="0065383F"/>
    <w:rsid w:val="006541C7"/>
    <w:rsid w:val="00654786"/>
    <w:rsid w:val="00655906"/>
    <w:rsid w:val="00656629"/>
    <w:rsid w:val="00660FF2"/>
    <w:rsid w:val="00661659"/>
    <w:rsid w:val="006622B0"/>
    <w:rsid w:val="00664517"/>
    <w:rsid w:val="0067477B"/>
    <w:rsid w:val="00674943"/>
    <w:rsid w:val="0067494C"/>
    <w:rsid w:val="006770C1"/>
    <w:rsid w:val="00677171"/>
    <w:rsid w:val="00680CF5"/>
    <w:rsid w:val="00681470"/>
    <w:rsid w:val="00684C56"/>
    <w:rsid w:val="0068757C"/>
    <w:rsid w:val="00690E42"/>
    <w:rsid w:val="00691B30"/>
    <w:rsid w:val="00692A8B"/>
    <w:rsid w:val="00694AA3"/>
    <w:rsid w:val="0069560B"/>
    <w:rsid w:val="00696328"/>
    <w:rsid w:val="006964AA"/>
    <w:rsid w:val="00697763"/>
    <w:rsid w:val="00697FC2"/>
    <w:rsid w:val="006A0747"/>
    <w:rsid w:val="006A1589"/>
    <w:rsid w:val="006A278F"/>
    <w:rsid w:val="006A4D29"/>
    <w:rsid w:val="006B211D"/>
    <w:rsid w:val="006B3475"/>
    <w:rsid w:val="006B5B6E"/>
    <w:rsid w:val="006C5009"/>
    <w:rsid w:val="006C6810"/>
    <w:rsid w:val="006C7C96"/>
    <w:rsid w:val="006D32C3"/>
    <w:rsid w:val="006D3376"/>
    <w:rsid w:val="006D67CD"/>
    <w:rsid w:val="006E4377"/>
    <w:rsid w:val="006E49C4"/>
    <w:rsid w:val="006E6153"/>
    <w:rsid w:val="006F2658"/>
    <w:rsid w:val="006F44B6"/>
    <w:rsid w:val="007018C3"/>
    <w:rsid w:val="007022CF"/>
    <w:rsid w:val="00705629"/>
    <w:rsid w:val="00706600"/>
    <w:rsid w:val="00707CB7"/>
    <w:rsid w:val="00710886"/>
    <w:rsid w:val="00711226"/>
    <w:rsid w:val="00712833"/>
    <w:rsid w:val="00713410"/>
    <w:rsid w:val="007139E6"/>
    <w:rsid w:val="0071675B"/>
    <w:rsid w:val="007208F8"/>
    <w:rsid w:val="007216E0"/>
    <w:rsid w:val="0072298D"/>
    <w:rsid w:val="00722D74"/>
    <w:rsid w:val="0072557C"/>
    <w:rsid w:val="0072681A"/>
    <w:rsid w:val="0073176C"/>
    <w:rsid w:val="00731B47"/>
    <w:rsid w:val="00733668"/>
    <w:rsid w:val="0073736D"/>
    <w:rsid w:val="007507C9"/>
    <w:rsid w:val="0075142D"/>
    <w:rsid w:val="007532DD"/>
    <w:rsid w:val="0075419A"/>
    <w:rsid w:val="007603A0"/>
    <w:rsid w:val="00763271"/>
    <w:rsid w:val="00763B03"/>
    <w:rsid w:val="00763FCB"/>
    <w:rsid w:val="007732A7"/>
    <w:rsid w:val="00777B13"/>
    <w:rsid w:val="0078378A"/>
    <w:rsid w:val="007839F6"/>
    <w:rsid w:val="00783DF8"/>
    <w:rsid w:val="00784246"/>
    <w:rsid w:val="00785799"/>
    <w:rsid w:val="00794405"/>
    <w:rsid w:val="007A0F27"/>
    <w:rsid w:val="007A2567"/>
    <w:rsid w:val="007A6F2A"/>
    <w:rsid w:val="007B06BB"/>
    <w:rsid w:val="007B464A"/>
    <w:rsid w:val="007B5276"/>
    <w:rsid w:val="007C1AB6"/>
    <w:rsid w:val="007C3F57"/>
    <w:rsid w:val="007D0A46"/>
    <w:rsid w:val="007D0F58"/>
    <w:rsid w:val="007D1F34"/>
    <w:rsid w:val="007D41E2"/>
    <w:rsid w:val="007D4F7F"/>
    <w:rsid w:val="007E0298"/>
    <w:rsid w:val="007E181B"/>
    <w:rsid w:val="007E2842"/>
    <w:rsid w:val="007E4A26"/>
    <w:rsid w:val="007F0BE9"/>
    <w:rsid w:val="007F34C3"/>
    <w:rsid w:val="007F54FF"/>
    <w:rsid w:val="008029C5"/>
    <w:rsid w:val="00804B8E"/>
    <w:rsid w:val="008063CE"/>
    <w:rsid w:val="008162D8"/>
    <w:rsid w:val="00830FFC"/>
    <w:rsid w:val="00831CC1"/>
    <w:rsid w:val="00832875"/>
    <w:rsid w:val="00832E77"/>
    <w:rsid w:val="008361E1"/>
    <w:rsid w:val="00837036"/>
    <w:rsid w:val="00842FB7"/>
    <w:rsid w:val="00843F66"/>
    <w:rsid w:val="00845D60"/>
    <w:rsid w:val="00850A71"/>
    <w:rsid w:val="00853A70"/>
    <w:rsid w:val="008565F2"/>
    <w:rsid w:val="00856D54"/>
    <w:rsid w:val="00861C2C"/>
    <w:rsid w:val="00867ADF"/>
    <w:rsid w:val="008728FE"/>
    <w:rsid w:val="00875AAE"/>
    <w:rsid w:val="0087761F"/>
    <w:rsid w:val="00877ED8"/>
    <w:rsid w:val="00881D36"/>
    <w:rsid w:val="0088300A"/>
    <w:rsid w:val="00885574"/>
    <w:rsid w:val="00890DF0"/>
    <w:rsid w:val="008938EA"/>
    <w:rsid w:val="008965C5"/>
    <w:rsid w:val="008A1103"/>
    <w:rsid w:val="008A2A5F"/>
    <w:rsid w:val="008A306A"/>
    <w:rsid w:val="008A323D"/>
    <w:rsid w:val="008A6188"/>
    <w:rsid w:val="008A739E"/>
    <w:rsid w:val="008B41FF"/>
    <w:rsid w:val="008B7AB5"/>
    <w:rsid w:val="008C0CE8"/>
    <w:rsid w:val="008C15AD"/>
    <w:rsid w:val="008C7C4F"/>
    <w:rsid w:val="008D171D"/>
    <w:rsid w:val="008D284F"/>
    <w:rsid w:val="008D2CB4"/>
    <w:rsid w:val="008D34EC"/>
    <w:rsid w:val="008D367B"/>
    <w:rsid w:val="008D38F3"/>
    <w:rsid w:val="008D6082"/>
    <w:rsid w:val="008D6DB1"/>
    <w:rsid w:val="008D7DFC"/>
    <w:rsid w:val="008E1F81"/>
    <w:rsid w:val="008E2055"/>
    <w:rsid w:val="008E3816"/>
    <w:rsid w:val="008E4DD2"/>
    <w:rsid w:val="008E54D3"/>
    <w:rsid w:val="008F0522"/>
    <w:rsid w:val="008F0830"/>
    <w:rsid w:val="008F5B40"/>
    <w:rsid w:val="00900BE9"/>
    <w:rsid w:val="00902321"/>
    <w:rsid w:val="00902950"/>
    <w:rsid w:val="00906789"/>
    <w:rsid w:val="00913E16"/>
    <w:rsid w:val="0091541C"/>
    <w:rsid w:val="00915814"/>
    <w:rsid w:val="009164D7"/>
    <w:rsid w:val="0091799D"/>
    <w:rsid w:val="00921145"/>
    <w:rsid w:val="00921176"/>
    <w:rsid w:val="009223EA"/>
    <w:rsid w:val="009266AB"/>
    <w:rsid w:val="00943D70"/>
    <w:rsid w:val="009453CD"/>
    <w:rsid w:val="009465EC"/>
    <w:rsid w:val="009512C6"/>
    <w:rsid w:val="009534D7"/>
    <w:rsid w:val="009557CF"/>
    <w:rsid w:val="00956D07"/>
    <w:rsid w:val="009605E8"/>
    <w:rsid w:val="00964E97"/>
    <w:rsid w:val="00967783"/>
    <w:rsid w:val="00972F39"/>
    <w:rsid w:val="009741E5"/>
    <w:rsid w:val="00974AFC"/>
    <w:rsid w:val="00975D54"/>
    <w:rsid w:val="00975F38"/>
    <w:rsid w:val="00977CB1"/>
    <w:rsid w:val="00981522"/>
    <w:rsid w:val="00982EB8"/>
    <w:rsid w:val="0098555B"/>
    <w:rsid w:val="009856F3"/>
    <w:rsid w:val="00985ABD"/>
    <w:rsid w:val="0098763F"/>
    <w:rsid w:val="00987A3D"/>
    <w:rsid w:val="009944F4"/>
    <w:rsid w:val="009979FC"/>
    <w:rsid w:val="009A0599"/>
    <w:rsid w:val="009A0C3A"/>
    <w:rsid w:val="009A223C"/>
    <w:rsid w:val="009A34B3"/>
    <w:rsid w:val="009A403E"/>
    <w:rsid w:val="009A4D77"/>
    <w:rsid w:val="009A5002"/>
    <w:rsid w:val="009B05A4"/>
    <w:rsid w:val="009B2453"/>
    <w:rsid w:val="009B2659"/>
    <w:rsid w:val="009B27D5"/>
    <w:rsid w:val="009B2BD1"/>
    <w:rsid w:val="009B3A3D"/>
    <w:rsid w:val="009C08C1"/>
    <w:rsid w:val="009C3325"/>
    <w:rsid w:val="009C3518"/>
    <w:rsid w:val="009C733A"/>
    <w:rsid w:val="009C7A31"/>
    <w:rsid w:val="009C7E7D"/>
    <w:rsid w:val="009D02F7"/>
    <w:rsid w:val="009D438D"/>
    <w:rsid w:val="009D5A6B"/>
    <w:rsid w:val="009E0B0C"/>
    <w:rsid w:val="009E0B43"/>
    <w:rsid w:val="009E1032"/>
    <w:rsid w:val="009E6CC7"/>
    <w:rsid w:val="009E6FDC"/>
    <w:rsid w:val="009F0404"/>
    <w:rsid w:val="009F1D17"/>
    <w:rsid w:val="009F6337"/>
    <w:rsid w:val="009F76AE"/>
    <w:rsid w:val="00A01088"/>
    <w:rsid w:val="00A01152"/>
    <w:rsid w:val="00A02249"/>
    <w:rsid w:val="00A068B3"/>
    <w:rsid w:val="00A06D5A"/>
    <w:rsid w:val="00A110A3"/>
    <w:rsid w:val="00A13452"/>
    <w:rsid w:val="00A14005"/>
    <w:rsid w:val="00A154CA"/>
    <w:rsid w:val="00A22321"/>
    <w:rsid w:val="00A251B5"/>
    <w:rsid w:val="00A26278"/>
    <w:rsid w:val="00A27486"/>
    <w:rsid w:val="00A27BB8"/>
    <w:rsid w:val="00A35D73"/>
    <w:rsid w:val="00A367E2"/>
    <w:rsid w:val="00A402CA"/>
    <w:rsid w:val="00A441C1"/>
    <w:rsid w:val="00A44F4B"/>
    <w:rsid w:val="00A542D2"/>
    <w:rsid w:val="00A5559C"/>
    <w:rsid w:val="00A7211C"/>
    <w:rsid w:val="00A73F50"/>
    <w:rsid w:val="00A776B0"/>
    <w:rsid w:val="00A81B25"/>
    <w:rsid w:val="00A81E61"/>
    <w:rsid w:val="00A83CA5"/>
    <w:rsid w:val="00A84645"/>
    <w:rsid w:val="00A865A1"/>
    <w:rsid w:val="00A8699B"/>
    <w:rsid w:val="00A90431"/>
    <w:rsid w:val="00A90F7A"/>
    <w:rsid w:val="00A922B1"/>
    <w:rsid w:val="00A93BE8"/>
    <w:rsid w:val="00A955B1"/>
    <w:rsid w:val="00AA0AB0"/>
    <w:rsid w:val="00AA4FF8"/>
    <w:rsid w:val="00AA51BB"/>
    <w:rsid w:val="00AA5833"/>
    <w:rsid w:val="00AA5B7B"/>
    <w:rsid w:val="00AA61FC"/>
    <w:rsid w:val="00AA67F9"/>
    <w:rsid w:val="00AB2C00"/>
    <w:rsid w:val="00AB5876"/>
    <w:rsid w:val="00AB596B"/>
    <w:rsid w:val="00AC02AA"/>
    <w:rsid w:val="00AC1A19"/>
    <w:rsid w:val="00AC2009"/>
    <w:rsid w:val="00AC217B"/>
    <w:rsid w:val="00AC234D"/>
    <w:rsid w:val="00AC296D"/>
    <w:rsid w:val="00AC2BB0"/>
    <w:rsid w:val="00AC3EDA"/>
    <w:rsid w:val="00AC48F2"/>
    <w:rsid w:val="00AC5C98"/>
    <w:rsid w:val="00AD145C"/>
    <w:rsid w:val="00AD71FF"/>
    <w:rsid w:val="00AE0A5C"/>
    <w:rsid w:val="00AE25A2"/>
    <w:rsid w:val="00AE29C8"/>
    <w:rsid w:val="00AE2B17"/>
    <w:rsid w:val="00AF0A6E"/>
    <w:rsid w:val="00AF3AFF"/>
    <w:rsid w:val="00AF4F60"/>
    <w:rsid w:val="00AF7CB2"/>
    <w:rsid w:val="00AF7D79"/>
    <w:rsid w:val="00B0004A"/>
    <w:rsid w:val="00B022D7"/>
    <w:rsid w:val="00B04BF6"/>
    <w:rsid w:val="00B05315"/>
    <w:rsid w:val="00B1011B"/>
    <w:rsid w:val="00B1243A"/>
    <w:rsid w:val="00B1350E"/>
    <w:rsid w:val="00B13DBF"/>
    <w:rsid w:val="00B216A7"/>
    <w:rsid w:val="00B27CAC"/>
    <w:rsid w:val="00B31D5C"/>
    <w:rsid w:val="00B32AC9"/>
    <w:rsid w:val="00B34185"/>
    <w:rsid w:val="00B35383"/>
    <w:rsid w:val="00B369CC"/>
    <w:rsid w:val="00B36A3A"/>
    <w:rsid w:val="00B36E90"/>
    <w:rsid w:val="00B41082"/>
    <w:rsid w:val="00B42739"/>
    <w:rsid w:val="00B45099"/>
    <w:rsid w:val="00B45E30"/>
    <w:rsid w:val="00B4747D"/>
    <w:rsid w:val="00B51FF7"/>
    <w:rsid w:val="00B56B3A"/>
    <w:rsid w:val="00B56CA3"/>
    <w:rsid w:val="00B672A1"/>
    <w:rsid w:val="00B7286A"/>
    <w:rsid w:val="00B7324E"/>
    <w:rsid w:val="00B73A07"/>
    <w:rsid w:val="00B75266"/>
    <w:rsid w:val="00B8145C"/>
    <w:rsid w:val="00B824D1"/>
    <w:rsid w:val="00B84016"/>
    <w:rsid w:val="00B85FED"/>
    <w:rsid w:val="00B867D5"/>
    <w:rsid w:val="00B86EBD"/>
    <w:rsid w:val="00B8745E"/>
    <w:rsid w:val="00B907D8"/>
    <w:rsid w:val="00B91B2E"/>
    <w:rsid w:val="00B93696"/>
    <w:rsid w:val="00B95202"/>
    <w:rsid w:val="00B96215"/>
    <w:rsid w:val="00B96954"/>
    <w:rsid w:val="00B96EEF"/>
    <w:rsid w:val="00BA0D1C"/>
    <w:rsid w:val="00BA14D7"/>
    <w:rsid w:val="00BA425F"/>
    <w:rsid w:val="00BA7F94"/>
    <w:rsid w:val="00BB0E30"/>
    <w:rsid w:val="00BB336F"/>
    <w:rsid w:val="00BC3B1A"/>
    <w:rsid w:val="00BC6286"/>
    <w:rsid w:val="00BC74B1"/>
    <w:rsid w:val="00BD4359"/>
    <w:rsid w:val="00BE16F6"/>
    <w:rsid w:val="00BE2508"/>
    <w:rsid w:val="00BF1380"/>
    <w:rsid w:val="00BF1464"/>
    <w:rsid w:val="00BF169B"/>
    <w:rsid w:val="00BF1804"/>
    <w:rsid w:val="00BF4034"/>
    <w:rsid w:val="00BF4E3E"/>
    <w:rsid w:val="00BF4F76"/>
    <w:rsid w:val="00BF6C27"/>
    <w:rsid w:val="00C07F8D"/>
    <w:rsid w:val="00C136AE"/>
    <w:rsid w:val="00C145CD"/>
    <w:rsid w:val="00C152CE"/>
    <w:rsid w:val="00C15394"/>
    <w:rsid w:val="00C15EC0"/>
    <w:rsid w:val="00C165F8"/>
    <w:rsid w:val="00C178E9"/>
    <w:rsid w:val="00C20A3E"/>
    <w:rsid w:val="00C20C9D"/>
    <w:rsid w:val="00C21094"/>
    <w:rsid w:val="00C2474D"/>
    <w:rsid w:val="00C319A0"/>
    <w:rsid w:val="00C31E25"/>
    <w:rsid w:val="00C3220B"/>
    <w:rsid w:val="00C3303F"/>
    <w:rsid w:val="00C34923"/>
    <w:rsid w:val="00C42415"/>
    <w:rsid w:val="00C43380"/>
    <w:rsid w:val="00C437EB"/>
    <w:rsid w:val="00C43F17"/>
    <w:rsid w:val="00C45917"/>
    <w:rsid w:val="00C47E62"/>
    <w:rsid w:val="00C50C8C"/>
    <w:rsid w:val="00C532BF"/>
    <w:rsid w:val="00C53613"/>
    <w:rsid w:val="00C53828"/>
    <w:rsid w:val="00C543C6"/>
    <w:rsid w:val="00C54408"/>
    <w:rsid w:val="00C602D7"/>
    <w:rsid w:val="00C61CA9"/>
    <w:rsid w:val="00C64B30"/>
    <w:rsid w:val="00C668B8"/>
    <w:rsid w:val="00C72304"/>
    <w:rsid w:val="00C75FFC"/>
    <w:rsid w:val="00C82B12"/>
    <w:rsid w:val="00C84EAE"/>
    <w:rsid w:val="00C85B8A"/>
    <w:rsid w:val="00C916BE"/>
    <w:rsid w:val="00C91A67"/>
    <w:rsid w:val="00C9405F"/>
    <w:rsid w:val="00C9471D"/>
    <w:rsid w:val="00C9511C"/>
    <w:rsid w:val="00CA0762"/>
    <w:rsid w:val="00CA12CC"/>
    <w:rsid w:val="00CA2FD3"/>
    <w:rsid w:val="00CA3E86"/>
    <w:rsid w:val="00CA7318"/>
    <w:rsid w:val="00CB155D"/>
    <w:rsid w:val="00CB27B3"/>
    <w:rsid w:val="00CB343C"/>
    <w:rsid w:val="00CC4181"/>
    <w:rsid w:val="00CC6C81"/>
    <w:rsid w:val="00CD2775"/>
    <w:rsid w:val="00CD4381"/>
    <w:rsid w:val="00CD4A22"/>
    <w:rsid w:val="00CE0EA1"/>
    <w:rsid w:val="00CE19AA"/>
    <w:rsid w:val="00CE2632"/>
    <w:rsid w:val="00CE3752"/>
    <w:rsid w:val="00CE7C89"/>
    <w:rsid w:val="00CF0C56"/>
    <w:rsid w:val="00CF1274"/>
    <w:rsid w:val="00CF3518"/>
    <w:rsid w:val="00CF7DE4"/>
    <w:rsid w:val="00D00F0A"/>
    <w:rsid w:val="00D04949"/>
    <w:rsid w:val="00D053F3"/>
    <w:rsid w:val="00D061EF"/>
    <w:rsid w:val="00D11C2E"/>
    <w:rsid w:val="00D138FF"/>
    <w:rsid w:val="00D22382"/>
    <w:rsid w:val="00D22F54"/>
    <w:rsid w:val="00D251D7"/>
    <w:rsid w:val="00D2628C"/>
    <w:rsid w:val="00D2776E"/>
    <w:rsid w:val="00D30A73"/>
    <w:rsid w:val="00D31527"/>
    <w:rsid w:val="00D328E9"/>
    <w:rsid w:val="00D34FAC"/>
    <w:rsid w:val="00D41089"/>
    <w:rsid w:val="00D43CAC"/>
    <w:rsid w:val="00D45548"/>
    <w:rsid w:val="00D45E00"/>
    <w:rsid w:val="00D47912"/>
    <w:rsid w:val="00D5014E"/>
    <w:rsid w:val="00D511E0"/>
    <w:rsid w:val="00D52956"/>
    <w:rsid w:val="00D52AE1"/>
    <w:rsid w:val="00D559EB"/>
    <w:rsid w:val="00D569AC"/>
    <w:rsid w:val="00D57C89"/>
    <w:rsid w:val="00D630EF"/>
    <w:rsid w:val="00D6698E"/>
    <w:rsid w:val="00D748AE"/>
    <w:rsid w:val="00D75E3A"/>
    <w:rsid w:val="00D764C6"/>
    <w:rsid w:val="00D803D5"/>
    <w:rsid w:val="00D80917"/>
    <w:rsid w:val="00D822A6"/>
    <w:rsid w:val="00D822AA"/>
    <w:rsid w:val="00D82E8B"/>
    <w:rsid w:val="00D83333"/>
    <w:rsid w:val="00D85736"/>
    <w:rsid w:val="00D878B2"/>
    <w:rsid w:val="00D908A6"/>
    <w:rsid w:val="00D9529A"/>
    <w:rsid w:val="00D9776D"/>
    <w:rsid w:val="00DA1AE0"/>
    <w:rsid w:val="00DA35AC"/>
    <w:rsid w:val="00DA686F"/>
    <w:rsid w:val="00DA707A"/>
    <w:rsid w:val="00DB1A34"/>
    <w:rsid w:val="00DC12EA"/>
    <w:rsid w:val="00DC199F"/>
    <w:rsid w:val="00DC57A9"/>
    <w:rsid w:val="00DC61B5"/>
    <w:rsid w:val="00DE1B7F"/>
    <w:rsid w:val="00DE4929"/>
    <w:rsid w:val="00DE6740"/>
    <w:rsid w:val="00DF0C3B"/>
    <w:rsid w:val="00DF2066"/>
    <w:rsid w:val="00DF2AEA"/>
    <w:rsid w:val="00DF4639"/>
    <w:rsid w:val="00DF68FD"/>
    <w:rsid w:val="00E00C2A"/>
    <w:rsid w:val="00E02BA3"/>
    <w:rsid w:val="00E037FC"/>
    <w:rsid w:val="00E0560B"/>
    <w:rsid w:val="00E058D9"/>
    <w:rsid w:val="00E05A2F"/>
    <w:rsid w:val="00E07470"/>
    <w:rsid w:val="00E1413A"/>
    <w:rsid w:val="00E14385"/>
    <w:rsid w:val="00E2030C"/>
    <w:rsid w:val="00E26371"/>
    <w:rsid w:val="00E34A71"/>
    <w:rsid w:val="00E34E00"/>
    <w:rsid w:val="00E4787D"/>
    <w:rsid w:val="00E526D0"/>
    <w:rsid w:val="00E52F75"/>
    <w:rsid w:val="00E53437"/>
    <w:rsid w:val="00E53A2D"/>
    <w:rsid w:val="00E5639D"/>
    <w:rsid w:val="00E57C1E"/>
    <w:rsid w:val="00E60132"/>
    <w:rsid w:val="00E66CE6"/>
    <w:rsid w:val="00E672B8"/>
    <w:rsid w:val="00E70120"/>
    <w:rsid w:val="00E70D82"/>
    <w:rsid w:val="00E71108"/>
    <w:rsid w:val="00E71AFB"/>
    <w:rsid w:val="00E722DE"/>
    <w:rsid w:val="00E74B1D"/>
    <w:rsid w:val="00E76895"/>
    <w:rsid w:val="00E7780F"/>
    <w:rsid w:val="00E77D9B"/>
    <w:rsid w:val="00E80C3D"/>
    <w:rsid w:val="00E86C8E"/>
    <w:rsid w:val="00E875C5"/>
    <w:rsid w:val="00E90FDC"/>
    <w:rsid w:val="00E914A7"/>
    <w:rsid w:val="00E923BF"/>
    <w:rsid w:val="00E948E2"/>
    <w:rsid w:val="00E96F91"/>
    <w:rsid w:val="00E976BE"/>
    <w:rsid w:val="00E977E9"/>
    <w:rsid w:val="00EA3C1F"/>
    <w:rsid w:val="00EA66ED"/>
    <w:rsid w:val="00EA6D96"/>
    <w:rsid w:val="00EB3843"/>
    <w:rsid w:val="00EB6058"/>
    <w:rsid w:val="00EB7AD1"/>
    <w:rsid w:val="00EC0D4C"/>
    <w:rsid w:val="00EC2C56"/>
    <w:rsid w:val="00EC36DD"/>
    <w:rsid w:val="00EC5921"/>
    <w:rsid w:val="00EC5B32"/>
    <w:rsid w:val="00EC5C55"/>
    <w:rsid w:val="00EC5EE0"/>
    <w:rsid w:val="00EC610F"/>
    <w:rsid w:val="00EC6786"/>
    <w:rsid w:val="00ED20BE"/>
    <w:rsid w:val="00ED2D6B"/>
    <w:rsid w:val="00EE12CE"/>
    <w:rsid w:val="00EE16AA"/>
    <w:rsid w:val="00EE4D7F"/>
    <w:rsid w:val="00EE4EAB"/>
    <w:rsid w:val="00EE6167"/>
    <w:rsid w:val="00EE6B46"/>
    <w:rsid w:val="00EF468C"/>
    <w:rsid w:val="00EF483C"/>
    <w:rsid w:val="00EF5EA2"/>
    <w:rsid w:val="00F01FA1"/>
    <w:rsid w:val="00F022F4"/>
    <w:rsid w:val="00F02639"/>
    <w:rsid w:val="00F0352C"/>
    <w:rsid w:val="00F060DE"/>
    <w:rsid w:val="00F1274D"/>
    <w:rsid w:val="00F1301E"/>
    <w:rsid w:val="00F14341"/>
    <w:rsid w:val="00F23652"/>
    <w:rsid w:val="00F25BB2"/>
    <w:rsid w:val="00F27CB7"/>
    <w:rsid w:val="00F3089F"/>
    <w:rsid w:val="00F318C6"/>
    <w:rsid w:val="00F3718B"/>
    <w:rsid w:val="00F42606"/>
    <w:rsid w:val="00F4314D"/>
    <w:rsid w:val="00F450A6"/>
    <w:rsid w:val="00F453E2"/>
    <w:rsid w:val="00F467C2"/>
    <w:rsid w:val="00F53571"/>
    <w:rsid w:val="00F55D61"/>
    <w:rsid w:val="00F64AA7"/>
    <w:rsid w:val="00F71385"/>
    <w:rsid w:val="00F7630F"/>
    <w:rsid w:val="00F819F7"/>
    <w:rsid w:val="00F81A58"/>
    <w:rsid w:val="00F859DF"/>
    <w:rsid w:val="00F87E51"/>
    <w:rsid w:val="00F914BF"/>
    <w:rsid w:val="00F97844"/>
    <w:rsid w:val="00FA19CD"/>
    <w:rsid w:val="00FA535A"/>
    <w:rsid w:val="00FB6827"/>
    <w:rsid w:val="00FC0AE2"/>
    <w:rsid w:val="00FC5A12"/>
    <w:rsid w:val="00FD1956"/>
    <w:rsid w:val="00FD3F75"/>
    <w:rsid w:val="00FD4789"/>
    <w:rsid w:val="00FD65F7"/>
    <w:rsid w:val="00FD6EA6"/>
    <w:rsid w:val="00FE2BD6"/>
    <w:rsid w:val="00FE7D2C"/>
    <w:rsid w:val="00FF1087"/>
    <w:rsid w:val="00FF18FA"/>
    <w:rsid w:val="00FF19FA"/>
    <w:rsid w:val="00FF3AC5"/>
    <w:rsid w:val="00FF3B26"/>
    <w:rsid w:val="00FF3D5F"/>
    <w:rsid w:val="00FF4CDC"/>
    <w:rsid w:val="09CCF4D7"/>
    <w:rsid w:val="224EA48E"/>
    <w:rsid w:val="6EE6E439"/>
    <w:rsid w:val="78E8D8CB"/>
    <w:rsid w:val="7CC4F9D2"/>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1268B"/>
  <w15:docId w15:val="{395BE651-E120-469E-A3D5-422F2D3D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527E"/>
    <w:pPr>
      <w:spacing w:before="120" w:after="120" w:line="360" w:lineRule="auto"/>
    </w:pPr>
    <w:rPr>
      <w:rFonts w:ascii="Times New Roman"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E2292"/>
    <w:pPr>
      <w:tabs>
        <w:tab w:val="right" w:pos="9638"/>
      </w:tabs>
    </w:pPr>
  </w:style>
  <w:style w:type="character" w:customStyle="1" w:styleId="AntratsDiagrama">
    <w:name w:val="Antraštės Diagrama"/>
    <w:basedOn w:val="Numatytasispastraiposriftas"/>
    <w:link w:val="Antrats"/>
    <w:uiPriority w:val="99"/>
    <w:rsid w:val="003E2292"/>
    <w:rPr>
      <w:rFonts w:ascii="Times New Roman" w:hAnsi="Times New Roman" w:cs="Times New Roman"/>
      <w:sz w:val="24"/>
    </w:rPr>
  </w:style>
  <w:style w:type="paragraph" w:styleId="Puslapioinaostekstas">
    <w:name w:val="footnote text"/>
    <w:aliases w:val="Schriftart: 9 pt,Schriftart: 10 pt,Schriftart: 8 pt,WB-Fußnotentext,FoodNote,ft,Footnote text,Footnote Text Char Char,Footnote Text Char1 Char Char,Footnote Text Char Char Char Char,fn,f,Char,Voetnoottekst Char,single space"/>
    <w:basedOn w:val="prastasis"/>
    <w:link w:val="PuslapioinaostekstasDiagrama"/>
    <w:uiPriority w:val="99"/>
    <w:unhideWhenUsed/>
    <w:qFormat/>
    <w:rsid w:val="003E2292"/>
    <w:pPr>
      <w:spacing w:before="0" w:after="0" w:line="240" w:lineRule="auto"/>
      <w:ind w:left="720" w:hanging="720"/>
    </w:pPr>
    <w:rPr>
      <w:szCs w:val="20"/>
    </w:rPr>
  </w:style>
  <w:style w:type="character" w:customStyle="1" w:styleId="PuslapioinaostekstasDiagrama">
    <w:name w:val="Puslapio išnašos tekstas Diagrama"/>
    <w:aliases w:val="Schriftart: 9 pt Diagrama,Schriftart: 10 pt Diagrama,Schriftart: 8 pt Diagrama,WB-Fußnotentext Diagrama,FoodNote Diagrama,ft Diagrama,Footnote text Diagrama,Footnote Text Char Char Diagrama,fn Diagrama,f Diagrama"/>
    <w:basedOn w:val="Numatytasispastraiposriftas"/>
    <w:link w:val="Puslapioinaostekstas"/>
    <w:uiPriority w:val="99"/>
    <w:rsid w:val="003E2292"/>
    <w:rPr>
      <w:rFonts w:ascii="Times New Roman" w:hAnsi="Times New Roman" w:cs="Times New Roman"/>
      <w:sz w:val="24"/>
      <w:szCs w:val="20"/>
    </w:rPr>
  </w:style>
  <w:style w:type="paragraph" w:customStyle="1" w:styleId="NormalCentered">
    <w:name w:val="Normal Centered"/>
    <w:basedOn w:val="prastasis"/>
    <w:rsid w:val="003E2292"/>
    <w:pPr>
      <w:spacing w:before="200"/>
      <w:jc w:val="center"/>
    </w:pPr>
  </w:style>
  <w:style w:type="paragraph" w:customStyle="1" w:styleId="NormalRight">
    <w:name w:val="Normal Right"/>
    <w:basedOn w:val="prastasis"/>
    <w:rsid w:val="003E2292"/>
    <w:pPr>
      <w:spacing w:before="200"/>
      <w:jc w:val="right"/>
    </w:pPr>
  </w:style>
  <w:style w:type="character" w:styleId="Puslapioinaosnuoroda">
    <w:name w:val="footnote reference"/>
    <w:aliases w:val="Footnote Reference Superscript,EN Footnote Reference,number,SUPERS,• Isnasos nuoroda,BVI fnr,Footnote symbol,Footnote Reference Number,Footnote anchor,Times 10 Point,Exposant 3 Point,Footnote reference number,Voetnootverwijzing"/>
    <w:basedOn w:val="Numatytasispastraiposriftas"/>
    <w:link w:val="SUPERSChar"/>
    <w:uiPriority w:val="99"/>
    <w:unhideWhenUsed/>
    <w:qFormat/>
    <w:rsid w:val="003E2292"/>
    <w:rPr>
      <w:b/>
      <w:shd w:val="clear" w:color="auto" w:fill="auto"/>
      <w:vertAlign w:val="superscript"/>
    </w:rPr>
  </w:style>
  <w:style w:type="paragraph" w:customStyle="1" w:styleId="FooterCouncil">
    <w:name w:val="Footer Council"/>
    <w:basedOn w:val="prastasis"/>
    <w:link w:val="FooterCouncilChar"/>
    <w:rsid w:val="003E2292"/>
    <w:pPr>
      <w:spacing w:before="0" w:after="0" w:line="240" w:lineRule="auto"/>
    </w:pPr>
    <w:rPr>
      <w:sz w:val="2"/>
    </w:rPr>
  </w:style>
  <w:style w:type="paragraph" w:customStyle="1" w:styleId="FooterText">
    <w:name w:val="Footer Text"/>
    <w:basedOn w:val="prastasis"/>
    <w:rsid w:val="003E2292"/>
    <w:pPr>
      <w:spacing w:before="0" w:after="0" w:line="240" w:lineRule="auto"/>
    </w:pPr>
    <w:rPr>
      <w:rFonts w:eastAsia="Times New Roman"/>
      <w:szCs w:val="24"/>
    </w:rPr>
  </w:style>
  <w:style w:type="paragraph" w:customStyle="1" w:styleId="Point0">
    <w:name w:val="Point 0"/>
    <w:basedOn w:val="prastasis"/>
    <w:rsid w:val="003E2292"/>
    <w:pPr>
      <w:ind w:left="850" w:hanging="850"/>
    </w:pPr>
  </w:style>
  <w:style w:type="table" w:styleId="Lentelstinklelis">
    <w:name w:val="Table Grid"/>
    <w:basedOn w:val="prastojilentel"/>
    <w:uiPriority w:val="59"/>
    <w:rsid w:val="003E22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ouncilChar">
    <w:name w:val="Footer Council Char"/>
    <w:link w:val="FooterCouncil"/>
    <w:rsid w:val="003E2292"/>
    <w:rPr>
      <w:rFonts w:ascii="Times New Roman" w:hAnsi="Times New Roman" w:cs="Times New Roman"/>
      <w:sz w:val="2"/>
    </w:rPr>
  </w:style>
  <w:style w:type="paragraph" w:styleId="Porat">
    <w:name w:val="footer"/>
    <w:basedOn w:val="prastasis"/>
    <w:link w:val="PoratDiagrama"/>
    <w:uiPriority w:val="99"/>
    <w:unhideWhenUsed/>
    <w:rsid w:val="00A865A1"/>
    <w:pPr>
      <w:tabs>
        <w:tab w:val="center" w:pos="4819"/>
        <w:tab w:val="right" w:pos="9638"/>
      </w:tabs>
      <w:spacing w:before="0" w:after="0" w:line="240" w:lineRule="auto"/>
    </w:pPr>
  </w:style>
  <w:style w:type="character" w:customStyle="1" w:styleId="PoratDiagrama">
    <w:name w:val="Poraštė Diagrama"/>
    <w:basedOn w:val="Numatytasispastraiposriftas"/>
    <w:link w:val="Porat"/>
    <w:uiPriority w:val="99"/>
    <w:rsid w:val="00A865A1"/>
    <w:rPr>
      <w:rFonts w:ascii="Times New Roman" w:hAnsi="Times New Roman" w:cs="Times New Roman"/>
      <w:sz w:val="24"/>
    </w:rPr>
  </w:style>
  <w:style w:type="paragraph" w:customStyle="1" w:styleId="08Pavadinimastitulis">
    <w:name w:val="08_Pavadinimas_titulis"/>
    <w:basedOn w:val="prastasis"/>
    <w:qFormat/>
    <w:rsid w:val="004D0F7E"/>
    <w:pPr>
      <w:spacing w:before="0" w:after="0" w:line="240" w:lineRule="auto"/>
      <w:jc w:val="center"/>
    </w:pPr>
    <w:rPr>
      <w:rFonts w:asciiTheme="minorHAnsi" w:hAnsiTheme="minorHAnsi"/>
      <w:b/>
      <w:color w:val="00C1C9"/>
      <w:spacing w:val="33"/>
      <w:kern w:val="10"/>
      <w:sz w:val="48"/>
      <w:szCs w:val="44"/>
      <w:lang w:val="en-GB" w:eastAsia="en-GB"/>
    </w:rPr>
  </w:style>
  <w:style w:type="paragraph" w:customStyle="1" w:styleId="03">
    <w:name w:val="03"/>
    <w:qFormat/>
    <w:rsid w:val="004D0F7E"/>
    <w:pPr>
      <w:spacing w:after="0" w:line="240" w:lineRule="auto"/>
      <w:jc w:val="center"/>
    </w:pPr>
    <w:rPr>
      <w:rFonts w:cs="Times New Roman"/>
      <w:b/>
      <w:color w:val="00C1C9"/>
      <w:spacing w:val="33"/>
      <w:kern w:val="10"/>
      <w:sz w:val="36"/>
      <w:szCs w:val="36"/>
      <w:lang w:val="en-GB" w:eastAsia="en-GB"/>
    </w:rPr>
  </w:style>
  <w:style w:type="paragraph" w:customStyle="1" w:styleId="07TXTlenteles">
    <w:name w:val="07_TXT_lenteles"/>
    <w:autoRedefine/>
    <w:qFormat/>
    <w:rsid w:val="00D9776D"/>
    <w:pPr>
      <w:spacing w:after="0" w:line="280" w:lineRule="exact"/>
      <w:jc w:val="center"/>
    </w:pPr>
    <w:rPr>
      <w:rFonts w:cs="Calibri"/>
      <w:kern w:val="10"/>
      <w:sz w:val="21"/>
      <w:szCs w:val="21"/>
      <w:lang w:eastAsia="en-GB"/>
    </w:rPr>
  </w:style>
  <w:style w:type="paragraph" w:customStyle="1" w:styleId="04Lenteliupavadinimai">
    <w:name w:val="04_Lenteliu_pavadinimai"/>
    <w:basedOn w:val="prastasis"/>
    <w:rsid w:val="00D9776D"/>
    <w:pPr>
      <w:spacing w:before="0" w:after="0" w:line="280" w:lineRule="exact"/>
      <w:ind w:firstLine="340"/>
      <w:contextualSpacing/>
      <w:jc w:val="center"/>
    </w:pPr>
    <w:rPr>
      <w:rFonts w:ascii="FreightSans Pro Bold" w:hAnsi="FreightSans Pro Bold"/>
      <w:b/>
      <w:bCs/>
      <w:caps/>
      <w:color w:val="00C1C9"/>
      <w:kern w:val="10"/>
      <w:sz w:val="21"/>
      <w:szCs w:val="32"/>
      <w:lang w:eastAsia="en-GB"/>
    </w:rPr>
  </w:style>
  <w:style w:type="character" w:styleId="Komentaronuoroda">
    <w:name w:val="annotation reference"/>
    <w:basedOn w:val="Numatytasispastraiposriftas"/>
    <w:uiPriority w:val="99"/>
    <w:semiHidden/>
    <w:unhideWhenUsed/>
    <w:rsid w:val="00CD4A22"/>
    <w:rPr>
      <w:sz w:val="16"/>
      <w:szCs w:val="16"/>
    </w:rPr>
  </w:style>
  <w:style w:type="paragraph" w:styleId="Komentarotekstas">
    <w:name w:val="annotation text"/>
    <w:basedOn w:val="prastasis"/>
    <w:link w:val="KomentarotekstasDiagrama"/>
    <w:uiPriority w:val="99"/>
    <w:unhideWhenUsed/>
    <w:rsid w:val="00CD4A2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CD4A22"/>
    <w:rPr>
      <w:rFonts w:ascii="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D4A22"/>
    <w:rPr>
      <w:b/>
      <w:bCs/>
    </w:rPr>
  </w:style>
  <w:style w:type="character" w:customStyle="1" w:styleId="KomentarotemaDiagrama">
    <w:name w:val="Komentaro tema Diagrama"/>
    <w:basedOn w:val="KomentarotekstasDiagrama"/>
    <w:link w:val="Komentarotema"/>
    <w:uiPriority w:val="99"/>
    <w:semiHidden/>
    <w:rsid w:val="00CD4A22"/>
    <w:rPr>
      <w:rFonts w:ascii="Times New Roman" w:hAnsi="Times New Roman" w:cs="Times New Roman"/>
      <w:b/>
      <w:bCs/>
      <w:sz w:val="20"/>
      <w:szCs w:val="20"/>
    </w:rPr>
  </w:style>
  <w:style w:type="paragraph" w:styleId="Sraopastraipa">
    <w:name w:val="List Paragraph"/>
    <w:basedOn w:val="prastasis"/>
    <w:uiPriority w:val="34"/>
    <w:qFormat/>
    <w:rsid w:val="00AA61FC"/>
    <w:pPr>
      <w:ind w:left="720"/>
      <w:contextualSpacing/>
    </w:pPr>
  </w:style>
  <w:style w:type="character" w:styleId="Hipersaitas">
    <w:name w:val="Hyperlink"/>
    <w:basedOn w:val="Numatytasispastraiposriftas"/>
    <w:uiPriority w:val="99"/>
    <w:unhideWhenUsed/>
    <w:rsid w:val="00731B47"/>
    <w:rPr>
      <w:color w:val="0563C1" w:themeColor="hyperlink"/>
      <w:u w:val="single"/>
    </w:rPr>
  </w:style>
  <w:style w:type="character" w:customStyle="1" w:styleId="UnresolvedMention1">
    <w:name w:val="Unresolved Mention1"/>
    <w:basedOn w:val="Numatytasispastraiposriftas"/>
    <w:uiPriority w:val="99"/>
    <w:semiHidden/>
    <w:unhideWhenUsed/>
    <w:rsid w:val="00731B47"/>
    <w:rPr>
      <w:color w:val="605E5C"/>
      <w:shd w:val="clear" w:color="auto" w:fill="E1DFDD"/>
    </w:rPr>
  </w:style>
  <w:style w:type="character" w:styleId="Perirtashipersaitas">
    <w:name w:val="FollowedHyperlink"/>
    <w:basedOn w:val="Numatytasispastraiposriftas"/>
    <w:uiPriority w:val="99"/>
    <w:semiHidden/>
    <w:unhideWhenUsed/>
    <w:rsid w:val="004306E4"/>
    <w:rPr>
      <w:color w:val="954F72" w:themeColor="followedHyperlink"/>
      <w:u w:val="single"/>
    </w:rPr>
  </w:style>
  <w:style w:type="table" w:customStyle="1" w:styleId="TableGridLight1">
    <w:name w:val="Table Grid Light1"/>
    <w:basedOn w:val="prastojilentel"/>
    <w:uiPriority w:val="40"/>
    <w:rsid w:val="00F318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taisymai">
    <w:name w:val="Revision"/>
    <w:hidden/>
    <w:uiPriority w:val="99"/>
    <w:semiHidden/>
    <w:rsid w:val="00BA0D1C"/>
    <w:pPr>
      <w:spacing w:after="0" w:line="240" w:lineRule="auto"/>
    </w:pPr>
    <w:rPr>
      <w:rFonts w:ascii="Times New Roman" w:hAnsi="Times New Roman" w:cs="Times New Roman"/>
      <w:sz w:val="24"/>
    </w:rPr>
  </w:style>
  <w:style w:type="paragraph" w:styleId="Debesliotekstas">
    <w:name w:val="Balloon Text"/>
    <w:basedOn w:val="prastasis"/>
    <w:link w:val="DebesliotekstasDiagrama"/>
    <w:uiPriority w:val="99"/>
    <w:semiHidden/>
    <w:unhideWhenUsed/>
    <w:rsid w:val="00F42606"/>
    <w:pPr>
      <w:spacing w:before="0"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42606"/>
    <w:rPr>
      <w:rFonts w:ascii="Tahoma" w:hAnsi="Tahoma" w:cs="Tahoma"/>
      <w:sz w:val="16"/>
      <w:szCs w:val="16"/>
    </w:rPr>
  </w:style>
  <w:style w:type="character" w:customStyle="1" w:styleId="Neapdorotaspaminjimas1">
    <w:name w:val="Neapdorotas paminėjimas1"/>
    <w:basedOn w:val="Numatytasispastraiposriftas"/>
    <w:uiPriority w:val="99"/>
    <w:semiHidden/>
    <w:unhideWhenUsed/>
    <w:rsid w:val="003B1F6F"/>
    <w:rPr>
      <w:color w:val="605E5C"/>
      <w:shd w:val="clear" w:color="auto" w:fill="E1DFDD"/>
    </w:rPr>
  </w:style>
  <w:style w:type="paragraph" w:customStyle="1" w:styleId="xmsonormal">
    <w:name w:val="x_msonormal"/>
    <w:basedOn w:val="prastasis"/>
    <w:rsid w:val="00602256"/>
    <w:pPr>
      <w:spacing w:before="0" w:after="0" w:line="240" w:lineRule="auto"/>
    </w:pPr>
    <w:rPr>
      <w:rFonts w:ascii="Calibri" w:hAnsi="Calibri" w:cs="Calibri"/>
      <w:sz w:val="22"/>
      <w:lang w:eastAsia="lt-LT"/>
    </w:rPr>
  </w:style>
  <w:style w:type="character" w:customStyle="1" w:styleId="UnresolvedMention2">
    <w:name w:val="Unresolved Mention2"/>
    <w:basedOn w:val="Numatytasispastraiposriftas"/>
    <w:uiPriority w:val="99"/>
    <w:semiHidden/>
    <w:unhideWhenUsed/>
    <w:rsid w:val="00B022D7"/>
    <w:rPr>
      <w:color w:val="605E5C"/>
      <w:shd w:val="clear" w:color="auto" w:fill="E1DFDD"/>
    </w:rPr>
  </w:style>
  <w:style w:type="paragraph" w:customStyle="1" w:styleId="Default">
    <w:name w:val="Default"/>
    <w:basedOn w:val="prastasis"/>
    <w:uiPriority w:val="1"/>
    <w:rsid w:val="00E34A71"/>
    <w:pPr>
      <w:spacing w:before="0" w:after="0" w:line="256" w:lineRule="auto"/>
    </w:pPr>
    <w:rPr>
      <w:rFonts w:eastAsiaTheme="minorEastAsia"/>
      <w:color w:val="000000" w:themeColor="text1"/>
      <w:szCs w:val="24"/>
      <w:lang w:val="en-US"/>
    </w:rPr>
  </w:style>
  <w:style w:type="paragraph" w:customStyle="1" w:styleId="SUPERSChar">
    <w:name w:val="SUPERS Char"/>
    <w:aliases w:val="EN Footnote Reference Char"/>
    <w:basedOn w:val="prastasis"/>
    <w:link w:val="Puslapioinaosnuoroda"/>
    <w:uiPriority w:val="99"/>
    <w:rsid w:val="00921176"/>
    <w:pPr>
      <w:spacing w:before="0" w:after="160" w:line="240" w:lineRule="exact"/>
    </w:pPr>
    <w:rPr>
      <w:rFonts w:asciiTheme="minorHAnsi" w:hAnsiTheme="minorHAnsi" w:cstheme="minorBidi"/>
      <w:b/>
      <w:sz w:val="22"/>
      <w:vertAlign w:val="superscript"/>
    </w:rPr>
  </w:style>
  <w:style w:type="character" w:customStyle="1" w:styleId="Neapdorotaspaminjimas2">
    <w:name w:val="Neapdorotas paminėjimas2"/>
    <w:basedOn w:val="Numatytasispastraiposriftas"/>
    <w:uiPriority w:val="99"/>
    <w:semiHidden/>
    <w:unhideWhenUsed/>
    <w:rsid w:val="00B1011B"/>
    <w:rPr>
      <w:color w:val="605E5C"/>
      <w:shd w:val="clear" w:color="auto" w:fill="E1DFDD"/>
    </w:rPr>
  </w:style>
  <w:style w:type="character" w:customStyle="1" w:styleId="Neapdorotaspaminjimas3">
    <w:name w:val="Neapdorotas paminėjimas3"/>
    <w:basedOn w:val="Numatytasispastraiposriftas"/>
    <w:uiPriority w:val="99"/>
    <w:semiHidden/>
    <w:unhideWhenUsed/>
    <w:rsid w:val="00342071"/>
    <w:rPr>
      <w:color w:val="605E5C"/>
      <w:shd w:val="clear" w:color="auto" w:fill="E1DFDD"/>
    </w:rPr>
  </w:style>
  <w:style w:type="character" w:customStyle="1" w:styleId="Neapdorotaspaminjimas4">
    <w:name w:val="Neapdorotas paminėjimas4"/>
    <w:basedOn w:val="Numatytasispastraiposriftas"/>
    <w:uiPriority w:val="99"/>
    <w:semiHidden/>
    <w:unhideWhenUsed/>
    <w:rsid w:val="00836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0541">
      <w:bodyDiv w:val="1"/>
      <w:marLeft w:val="0"/>
      <w:marRight w:val="0"/>
      <w:marTop w:val="0"/>
      <w:marBottom w:val="0"/>
      <w:divBdr>
        <w:top w:val="none" w:sz="0" w:space="0" w:color="auto"/>
        <w:left w:val="none" w:sz="0" w:space="0" w:color="auto"/>
        <w:bottom w:val="none" w:sz="0" w:space="0" w:color="auto"/>
        <w:right w:val="none" w:sz="0" w:space="0" w:color="auto"/>
      </w:divBdr>
    </w:div>
    <w:div w:id="151260556">
      <w:bodyDiv w:val="1"/>
      <w:marLeft w:val="0"/>
      <w:marRight w:val="0"/>
      <w:marTop w:val="0"/>
      <w:marBottom w:val="0"/>
      <w:divBdr>
        <w:top w:val="none" w:sz="0" w:space="0" w:color="auto"/>
        <w:left w:val="none" w:sz="0" w:space="0" w:color="auto"/>
        <w:bottom w:val="none" w:sz="0" w:space="0" w:color="auto"/>
        <w:right w:val="none" w:sz="0" w:space="0" w:color="auto"/>
      </w:divBdr>
    </w:div>
    <w:div w:id="186600013">
      <w:bodyDiv w:val="1"/>
      <w:marLeft w:val="0"/>
      <w:marRight w:val="0"/>
      <w:marTop w:val="0"/>
      <w:marBottom w:val="0"/>
      <w:divBdr>
        <w:top w:val="none" w:sz="0" w:space="0" w:color="auto"/>
        <w:left w:val="none" w:sz="0" w:space="0" w:color="auto"/>
        <w:bottom w:val="none" w:sz="0" w:space="0" w:color="auto"/>
        <w:right w:val="none" w:sz="0" w:space="0" w:color="auto"/>
      </w:divBdr>
    </w:div>
    <w:div w:id="217863367">
      <w:bodyDiv w:val="1"/>
      <w:marLeft w:val="0"/>
      <w:marRight w:val="0"/>
      <w:marTop w:val="0"/>
      <w:marBottom w:val="0"/>
      <w:divBdr>
        <w:top w:val="none" w:sz="0" w:space="0" w:color="auto"/>
        <w:left w:val="none" w:sz="0" w:space="0" w:color="auto"/>
        <w:bottom w:val="none" w:sz="0" w:space="0" w:color="auto"/>
        <w:right w:val="none" w:sz="0" w:space="0" w:color="auto"/>
      </w:divBdr>
    </w:div>
    <w:div w:id="384379382">
      <w:bodyDiv w:val="1"/>
      <w:marLeft w:val="0"/>
      <w:marRight w:val="0"/>
      <w:marTop w:val="0"/>
      <w:marBottom w:val="0"/>
      <w:divBdr>
        <w:top w:val="none" w:sz="0" w:space="0" w:color="auto"/>
        <w:left w:val="none" w:sz="0" w:space="0" w:color="auto"/>
        <w:bottom w:val="none" w:sz="0" w:space="0" w:color="auto"/>
        <w:right w:val="none" w:sz="0" w:space="0" w:color="auto"/>
      </w:divBdr>
    </w:div>
    <w:div w:id="442530896">
      <w:bodyDiv w:val="1"/>
      <w:marLeft w:val="0"/>
      <w:marRight w:val="0"/>
      <w:marTop w:val="0"/>
      <w:marBottom w:val="0"/>
      <w:divBdr>
        <w:top w:val="none" w:sz="0" w:space="0" w:color="auto"/>
        <w:left w:val="none" w:sz="0" w:space="0" w:color="auto"/>
        <w:bottom w:val="none" w:sz="0" w:space="0" w:color="auto"/>
        <w:right w:val="none" w:sz="0" w:space="0" w:color="auto"/>
      </w:divBdr>
    </w:div>
    <w:div w:id="705758143">
      <w:bodyDiv w:val="1"/>
      <w:marLeft w:val="0"/>
      <w:marRight w:val="0"/>
      <w:marTop w:val="0"/>
      <w:marBottom w:val="0"/>
      <w:divBdr>
        <w:top w:val="none" w:sz="0" w:space="0" w:color="auto"/>
        <w:left w:val="none" w:sz="0" w:space="0" w:color="auto"/>
        <w:bottom w:val="none" w:sz="0" w:space="0" w:color="auto"/>
        <w:right w:val="none" w:sz="0" w:space="0" w:color="auto"/>
      </w:divBdr>
    </w:div>
    <w:div w:id="926646189">
      <w:bodyDiv w:val="1"/>
      <w:marLeft w:val="0"/>
      <w:marRight w:val="0"/>
      <w:marTop w:val="0"/>
      <w:marBottom w:val="0"/>
      <w:divBdr>
        <w:top w:val="none" w:sz="0" w:space="0" w:color="auto"/>
        <w:left w:val="none" w:sz="0" w:space="0" w:color="auto"/>
        <w:bottom w:val="none" w:sz="0" w:space="0" w:color="auto"/>
        <w:right w:val="none" w:sz="0" w:space="0" w:color="auto"/>
      </w:divBdr>
    </w:div>
    <w:div w:id="1622345451">
      <w:bodyDiv w:val="1"/>
      <w:marLeft w:val="0"/>
      <w:marRight w:val="0"/>
      <w:marTop w:val="0"/>
      <w:marBottom w:val="0"/>
      <w:divBdr>
        <w:top w:val="none" w:sz="0" w:space="0" w:color="auto"/>
        <w:left w:val="none" w:sz="0" w:space="0" w:color="auto"/>
        <w:bottom w:val="none" w:sz="0" w:space="0" w:color="auto"/>
        <w:right w:val="none" w:sz="0" w:space="0" w:color="auto"/>
      </w:divBdr>
    </w:div>
    <w:div w:id="1730836857">
      <w:bodyDiv w:val="1"/>
      <w:marLeft w:val="0"/>
      <w:marRight w:val="0"/>
      <w:marTop w:val="0"/>
      <w:marBottom w:val="0"/>
      <w:divBdr>
        <w:top w:val="none" w:sz="0" w:space="0" w:color="auto"/>
        <w:left w:val="none" w:sz="0" w:space="0" w:color="auto"/>
        <w:bottom w:val="none" w:sz="0" w:space="0" w:color="auto"/>
        <w:right w:val="none" w:sz="0" w:space="0" w:color="auto"/>
      </w:divBdr>
      <w:divsChild>
        <w:div w:id="660543309">
          <w:marLeft w:val="0"/>
          <w:marRight w:val="0"/>
          <w:marTop w:val="0"/>
          <w:marBottom w:val="0"/>
          <w:divBdr>
            <w:top w:val="none" w:sz="0" w:space="0" w:color="auto"/>
            <w:left w:val="none" w:sz="0" w:space="0" w:color="auto"/>
            <w:bottom w:val="none" w:sz="0" w:space="0" w:color="auto"/>
            <w:right w:val="none" w:sz="0" w:space="0" w:color="auto"/>
          </w:divBdr>
        </w:div>
        <w:div w:id="1609652431">
          <w:marLeft w:val="0"/>
          <w:marRight w:val="0"/>
          <w:marTop w:val="0"/>
          <w:marBottom w:val="0"/>
          <w:divBdr>
            <w:top w:val="none" w:sz="0" w:space="0" w:color="auto"/>
            <w:left w:val="none" w:sz="0" w:space="0" w:color="auto"/>
            <w:bottom w:val="none" w:sz="0" w:space="0" w:color="auto"/>
            <w:right w:val="none" w:sz="0" w:space="0" w:color="auto"/>
          </w:divBdr>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
    <w:div w:id="2079935770">
      <w:bodyDiv w:val="1"/>
      <w:marLeft w:val="0"/>
      <w:marRight w:val="0"/>
      <w:marTop w:val="0"/>
      <w:marBottom w:val="0"/>
      <w:divBdr>
        <w:top w:val="none" w:sz="0" w:space="0" w:color="auto"/>
        <w:left w:val="none" w:sz="0" w:space="0" w:color="auto"/>
        <w:bottom w:val="none" w:sz="0" w:space="0" w:color="auto"/>
        <w:right w:val="none" w:sz="0" w:space="0" w:color="auto"/>
      </w:divBdr>
    </w:div>
    <w:div w:id="2111463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14e33320f1ed11ec8fa7d02a65c371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6" ma:contentTypeDescription="Create a new document." ma:contentTypeScope="" ma:versionID="4c9453901f9997eb543c8c5a4b8f26c4">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ba0d6b645c88e3e4a1b5838522a65d33"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SharedWithUsers xmlns="57ced1c0-dd17-4bc1-a49b-8d58a8b9fb5a">
      <UserInfo>
        <DisplayName>Audronė Nikšaitė</DisplayName>
        <AccountId>253</AccountId>
        <AccountType/>
      </UserInfo>
      <UserInfo>
        <DisplayName>Indrė Žemaitienė</DisplayName>
        <AccountId>334</AccountId>
        <AccountType/>
      </UserInfo>
      <UserInfo>
        <DisplayName>Rokas Jasaitis</DisplayName>
        <AccountId>284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E4B7E-2650-4DAF-BC54-E5EDB1301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013EE-2BC9-4A6B-9678-0FA7425C7E90}">
  <ds:schemaRefs>
    <ds:schemaRef ds:uri="http://schemas.openxmlformats.org/officeDocument/2006/bibliography"/>
  </ds:schemaRefs>
</ds:datastoreItem>
</file>

<file path=customXml/itemProps3.xml><?xml version="1.0" encoding="utf-8"?>
<ds:datastoreItem xmlns:ds="http://schemas.openxmlformats.org/officeDocument/2006/customXml" ds:itemID="{06330168-9261-42D2-AD31-988AA0B51A1A}">
  <ds:schemaRefs>
    <ds:schemaRef ds:uri="fb82805b-4725-417c-9992-107fa9b8f2e4"/>
    <ds:schemaRef ds:uri="http://purl.org/dc/elements/1.1/"/>
    <ds:schemaRef ds:uri="http://schemas.microsoft.com/office/2006/metadata/properties"/>
    <ds:schemaRef ds:uri="dae36cbf-93a9-442d-a8f3-11e84dab39c7"/>
    <ds:schemaRef ds:uri="57ced1c0-dd17-4bc1-a49b-8d58a8b9fb5a"/>
    <ds:schemaRef ds:uri="http://purl.org/dc/terms/"/>
    <ds:schemaRef ds:uri="52cb1114-a659-49af-a8a1-f8a6abfefc25"/>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9520559-D32F-44B9-9713-52E177C05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5405</Words>
  <Characters>3081</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Kvietkauskienė</dc:creator>
  <cp:lastModifiedBy>Irina Grigonienė</cp:lastModifiedBy>
  <cp:revision>4</cp:revision>
  <dcterms:created xsi:type="dcterms:W3CDTF">2023-07-26T07:02:00Z</dcterms:created>
  <dcterms:modified xsi:type="dcterms:W3CDTF">2023-07-26T07:05:00Z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